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88" w:after="288"/>
        <w:contextualSpacing/>
        <w:jc w:val="center"/>
        <w:rPr>
          <w:rFonts w:ascii="Arial" w:hAnsi="Arial" w:eastAsia="MS Mincho" w:cs="Arial"/>
          <w:b/>
          <w:color w:val="FF0000"/>
          <w:sz w:val="22"/>
          <w:szCs w:val="22"/>
        </w:rPr>
      </w:pPr>
      <w:r>
        <w:rPr>
          <w:rFonts w:eastAsia="MS Mincho" w:cs="Arial" w:ascii="Arial" w:hAnsi="Arial"/>
          <w:b/>
          <w:color w:val="FF0000"/>
          <w:sz w:val="22"/>
          <w:szCs w:val="22"/>
        </w:rPr>
      </w:r>
    </w:p>
    <w:p>
      <w:pPr>
        <w:pStyle w:val="Normal"/>
        <w:spacing w:before="288" w:after="288"/>
        <w:contextualSpacing/>
        <w:jc w:val="center"/>
        <w:rPr>
          <w:rFonts w:ascii="Arial" w:hAnsi="Arial" w:eastAsia="MS Mincho" w:cs="Arial"/>
          <w:b/>
          <w:color w:val="FF0000"/>
          <w:sz w:val="22"/>
          <w:szCs w:val="22"/>
        </w:rPr>
      </w:pPr>
      <w:r>
        <w:rPr>
          <w:rFonts w:eastAsia="MS Mincho" w:cs="Arial" w:ascii="Arial" w:hAnsi="Arial"/>
          <w:b/>
          <w:sz w:val="22"/>
          <w:szCs w:val="22"/>
        </w:rPr>
        <w:t>ANEX</w:t>
      </w:r>
      <w:r>
        <w:rPr>
          <w:rFonts w:eastAsia="MS Mincho" w:cs="Arial" w:ascii="Arial" w:hAnsi="Arial"/>
          <w:b/>
          <w:color w:val="000000"/>
          <w:sz w:val="22"/>
          <w:szCs w:val="22"/>
        </w:rPr>
        <w:t xml:space="preserve">O IV– </w:t>
      </w:r>
      <w:r>
        <w:rPr>
          <w:rFonts w:eastAsia="MS Mincho" w:cs="Arial" w:ascii="Arial" w:hAnsi="Arial"/>
          <w:b/>
          <w:sz w:val="22"/>
          <w:szCs w:val="22"/>
        </w:rPr>
        <w:t>DOCUMENTAÇÃO EXIGIDA PARA HABILITAÇÃO</w:t>
      </w:r>
    </w:p>
    <w:p>
      <w:pPr>
        <w:pStyle w:val="Normal"/>
        <w:spacing w:before="288" w:after="288"/>
        <w:contextualSpacing/>
        <w:jc w:val="center"/>
        <w:rPr>
          <w:rFonts w:ascii="Arial" w:hAnsi="Arial" w:eastAsia="MS Mincho" w:cs="Arial"/>
          <w:b/>
          <w:color w:val="FF0000"/>
          <w:sz w:val="22"/>
          <w:szCs w:val="22"/>
        </w:rPr>
      </w:pPr>
      <w:r>
        <w:rPr>
          <w:rFonts w:eastAsia="MS Mincho" w:cs="Arial" w:ascii="Arial" w:hAnsi="Arial"/>
          <w:b/>
          <w:color w:val="FF0000"/>
          <w:sz w:val="22"/>
          <w:szCs w:val="22"/>
        </w:rPr>
      </w:r>
    </w:p>
    <w:p>
      <w:pPr>
        <w:pStyle w:val="Normal"/>
        <w:spacing w:before="0" w:after="0"/>
        <w:contextualSpacing/>
        <w:rPr>
          <w:rFonts w:ascii="Arial" w:hAnsi="Arial" w:cs="Arial"/>
          <w:b/>
          <w:bCs/>
          <w:sz w:val="22"/>
          <w:szCs w:val="22"/>
        </w:rPr>
      </w:pPr>
      <w:r>
        <w:rPr>
          <w:rFonts w:cs="Arial" w:ascii="Arial" w:hAnsi="Arial"/>
          <w:b/>
          <w:bCs/>
          <w:sz w:val="22"/>
          <w:szCs w:val="22"/>
        </w:rPr>
        <w:t>1. HABILITAÇÃO JURÍDICA</w:t>
      </w:r>
    </w:p>
    <w:p>
      <w:pPr>
        <w:pStyle w:val="Normal"/>
        <w:spacing w:before="0" w:after="0"/>
        <w:contextualSpacing/>
        <w:rPr>
          <w:rFonts w:ascii="Arial" w:hAnsi="Arial" w:cs="Arial"/>
          <w:sz w:val="22"/>
          <w:szCs w:val="22"/>
        </w:rPr>
      </w:pPr>
      <w:r>
        <w:rPr>
          <w:rFonts w:cs="Arial" w:ascii="Arial" w:hAnsi="Arial"/>
          <w:sz w:val="22"/>
          <w:szCs w:val="22"/>
        </w:rPr>
      </w:r>
    </w:p>
    <w:p>
      <w:pPr>
        <w:pStyle w:val="Normal"/>
        <w:spacing w:before="240" w:after="240"/>
        <w:contextualSpacing/>
        <w:jc w:val="both"/>
        <w:rPr>
          <w:rFonts w:ascii="Arial" w:hAnsi="Arial" w:cs="Arial"/>
          <w:sz w:val="22"/>
          <w:szCs w:val="22"/>
        </w:rPr>
      </w:pPr>
      <w:r>
        <w:rPr>
          <w:rFonts w:cs="Arial" w:ascii="Arial" w:hAnsi="Arial"/>
          <w:bCs/>
          <w:sz w:val="22"/>
          <w:szCs w:val="22"/>
        </w:rPr>
        <w:t xml:space="preserve">1.1 </w:t>
      </w:r>
      <w:r>
        <w:rPr>
          <w:rFonts w:cs="Arial" w:ascii="Arial" w:hAnsi="Arial"/>
          <w:sz w:val="22"/>
          <w:szCs w:val="22"/>
        </w:rPr>
        <w:t>Pessoa física: cédula de identidade (RG) ou documento equivalente que, por força de lei, tenha validade para fins de identificação em todo o território nacional.</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t>1.2 Empresário individual: inscrição no Registro Público de Empresas Mercantis, a cargo da Junta Comercial da respectiva sede.</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t xml:space="preserve">1.3 Microempreendedor Individual - MEI: Certificado da Condição de Microempreendedor Individual - CCMEI, cuja aceitação ficará condicionada à verificação da autenticidade no sítio </w:t>
      </w:r>
      <w:hyperlink r:id="rId2">
        <w:r>
          <w:rPr>
            <w:rStyle w:val="Hyperlink"/>
            <w:rFonts w:cs="Arial" w:ascii="Arial" w:hAnsi="Arial"/>
            <w:sz w:val="22"/>
            <w:szCs w:val="22"/>
          </w:rPr>
          <w:t>www.portaldoempreendedor.gov.br</w:t>
        </w:r>
      </w:hyperlink>
      <w:r>
        <w:rPr>
          <w:rFonts w:cs="Arial" w:ascii="Arial" w:hAnsi="Arial"/>
          <w:color w:val="000000"/>
          <w:sz w:val="22"/>
          <w:szCs w:val="22"/>
        </w:rPr>
        <w:t>.</w:t>
      </w:r>
    </w:p>
    <w:p>
      <w:pPr>
        <w:pStyle w:val="Normal"/>
        <w:tabs>
          <w:tab w:val="clear" w:pos="708"/>
          <w:tab w:val="left" w:pos="1440" w:leader="none"/>
        </w:tabs>
        <w:snapToGrid w:val="false"/>
        <w:spacing w:before="0" w:after="0"/>
        <w:contextualSpacing/>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t xml:space="preserve">1.4 Sociedade Limitada Unipessoal - SLU: ato constitutivo, estatuto ou contrato social em vigor inscrito </w:t>
      </w:r>
      <w:r>
        <w:rPr>
          <w:rFonts w:cs="Arial" w:ascii="Arial" w:hAnsi="Arial"/>
          <w:sz w:val="22"/>
          <w:szCs w:val="22"/>
        </w:rPr>
        <w:t>no Registro Público de Empresas Mercantis, a cargo</w:t>
      </w:r>
      <w:r>
        <w:rPr>
          <w:rFonts w:cs="Arial" w:ascii="Arial" w:hAnsi="Arial"/>
          <w:color w:val="000000"/>
          <w:sz w:val="22"/>
          <w:szCs w:val="22"/>
        </w:rPr>
        <w:t xml:space="preserve"> da Junta Comercial da respectiva sede, acompanhado de documento comprobatório do administrador, sendo assim enquadrada a sociedade identificada como Empresas Individual de Responsabilidade Limitada – EIRELI, na forma do art. 41, da Lei nº 14.195, de 26 de agosto de 2021.</w:t>
      </w:r>
    </w:p>
    <w:p>
      <w:pPr>
        <w:pStyle w:val="Normal"/>
        <w:tabs>
          <w:tab w:val="clear" w:pos="708"/>
          <w:tab w:val="left" w:pos="1440" w:leader="none"/>
        </w:tabs>
        <w:snapToGrid w:val="false"/>
        <w:spacing w:before="0" w:after="0"/>
        <w:contextualSpacing/>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cs="Arial"/>
          <w:color w:val="000000"/>
          <w:sz w:val="22"/>
          <w:szCs w:val="22"/>
        </w:rPr>
      </w:pPr>
      <w:r>
        <w:rPr>
          <w:rFonts w:cs="Arial" w:ascii="Arial" w:hAnsi="Arial"/>
          <w:color w:val="000000"/>
          <w:sz w:val="22"/>
          <w:szCs w:val="22"/>
        </w:rPr>
        <w:t xml:space="preserve">1.5 Sociedade Empresária Estrangeira em funcionamento no País: </w:t>
      </w:r>
      <w:r>
        <w:rPr>
          <w:rFonts w:cs="Arial" w:ascii="Arial" w:hAnsi="Arial"/>
          <w:sz w:val="22"/>
          <w:szCs w:val="22"/>
        </w:rPr>
        <w:t>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 ou norma posterior que regule a matéria.</w:t>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t>1.6 Sociedade Simples: inscrição do ato constitutivo no Registro Civil das Pessoas Jurídicas do local de sua sede, acompanhada de prova da indicação dos seus administradores.</w:t>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t xml:space="preserve">1.7 </w:t>
      </w:r>
      <w:r>
        <w:rPr>
          <w:rFonts w:cs="Arial" w:ascii="Arial" w:hAnsi="Arial"/>
          <w:sz w:val="22"/>
          <w:szCs w:val="22"/>
        </w:rPr>
        <w:t>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se encontra estabelecida a matriz.</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t>1.8 Sociedade Cooperativa: ata de fundação e estatuto social em vigor, com a ata da assembleia que o aprovou, devidamente arquivado na Junta Comercial ou inscrito no Registro Civil das Pessoas Jurídicas da respectiva sede, bem como o registro de que trata o art. 107 da Lei nº 5.764, de 16 de dezembro de 1971, demonstrando que a sua constituição e funcionamento observam as regras estabelecidas na legislação aplicável, em especial a Lei nº 5.764/1971, a Lei nº 12.690, de 19 de julho de 2012, e a Lei Complementar nº 130, de 17 de abril de 2009.</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spacing w:before="0" w:after="0"/>
        <w:contextualSpacing/>
        <w:rPr>
          <w:rFonts w:ascii="Arial" w:hAnsi="Arial" w:cs="Arial"/>
          <w:sz w:val="22"/>
          <w:szCs w:val="22"/>
        </w:rPr>
      </w:pPr>
      <w:r>
        <w:rPr>
          <w:rFonts w:cs="Arial" w:ascii="Arial" w:hAnsi="Arial"/>
          <w:bCs/>
          <w:sz w:val="22"/>
          <w:szCs w:val="22"/>
        </w:rPr>
        <w:t xml:space="preserve">1.10 </w:t>
      </w:r>
      <w:r>
        <w:rPr>
          <w:rFonts w:cs="Arial" w:ascii="Arial" w:hAnsi="Arial"/>
          <w:bCs/>
          <w:color w:val="000000"/>
          <w:sz w:val="22"/>
          <w:szCs w:val="22"/>
        </w:rPr>
        <w:t>Quando cabível, os documentos apresentados devem estar acompanhados de todas as alterações ou da consolidação respectiva.</w:t>
      </w:r>
    </w:p>
    <w:p>
      <w:pPr>
        <w:pStyle w:val="Normal"/>
        <w:spacing w:before="0" w:after="0"/>
        <w:contextualSpacing/>
        <w:rPr>
          <w:rFonts w:ascii="Arial" w:hAnsi="Arial" w:cs="Arial"/>
          <w:sz w:val="22"/>
          <w:szCs w:val="22"/>
        </w:rPr>
      </w:pPr>
      <w:r>
        <w:rPr>
          <w:rFonts w:cs="Arial" w:ascii="Arial" w:hAnsi="Arial"/>
          <w:sz w:val="22"/>
          <w:szCs w:val="22"/>
        </w:rPr>
      </w:r>
    </w:p>
    <w:p>
      <w:pPr>
        <w:pStyle w:val="Normal"/>
        <w:spacing w:before="0" w:after="0"/>
        <w:contextualSpacing/>
        <w:rPr>
          <w:rFonts w:ascii="Arial" w:hAnsi="Arial" w:cs="Arial"/>
          <w:b/>
          <w:bCs/>
          <w:color w:val="000000"/>
          <w:sz w:val="22"/>
          <w:szCs w:val="22"/>
        </w:rPr>
      </w:pPr>
      <w:r>
        <w:rPr>
          <w:rFonts w:cs="Arial" w:ascii="Arial" w:hAnsi="Arial"/>
          <w:b/>
          <w:bCs/>
          <w:sz w:val="22"/>
          <w:szCs w:val="22"/>
        </w:rPr>
        <w:t xml:space="preserve">2. HABILITAÇÃO </w:t>
      </w:r>
      <w:r>
        <w:rPr>
          <w:rFonts w:cs="Arial" w:ascii="Arial" w:hAnsi="Arial"/>
          <w:b/>
          <w:bCs/>
          <w:color w:val="000000"/>
          <w:sz w:val="22"/>
          <w:szCs w:val="22"/>
        </w:rPr>
        <w:t>FISCAL, SOCIAL E TRABALHISTA:</w:t>
      </w:r>
    </w:p>
    <w:p>
      <w:pPr>
        <w:pStyle w:val="Normal"/>
        <w:spacing w:before="0" w:after="0"/>
        <w:contextualSpacing/>
        <w:rPr>
          <w:rFonts w:ascii="Arial" w:hAnsi="Arial" w:cs="Arial"/>
          <w:b/>
          <w:bCs/>
          <w:color w:val="000000"/>
          <w:sz w:val="22"/>
          <w:szCs w:val="22"/>
        </w:rPr>
      </w:pPr>
      <w:r>
        <w:rPr>
          <w:rFonts w:cs="Arial" w:ascii="Arial" w:hAnsi="Arial"/>
          <w:b/>
          <w:bCs/>
          <w:color w:val="000000"/>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lang w:eastAsia="en-US"/>
        </w:rPr>
        <w:t>2.1 Inscrição no Cadastro Nacional de Pessoas Jurídicas ou no Cadastro de Pessoas Físicas, conforme o caso.</w:t>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lang w:eastAsia="en-US"/>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t xml:space="preserve">2.2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color w:val="000000"/>
          <w:sz w:val="22"/>
          <w:szCs w:val="22"/>
          <w:lang w:eastAsia="en-US"/>
        </w:rPr>
        <w:t>2.3 Regularidade com o Fundo de Garantia do Tempo de Serviço (FGTS).</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color w:val="000000"/>
          <w:sz w:val="22"/>
          <w:szCs w:val="22"/>
        </w:rPr>
        <w:t>2.4 Declaração de que não emprega menor de 18 anos em trabalho noturno, perigoso ou insalubre e não emprega menor de 16 anos, salvo menor, a partir de 14 anos, na condição de aprendiz, nos termos do art. 7°, XXXIII, da Constituição.</w:t>
      </w:r>
    </w:p>
    <w:p>
      <w:pPr>
        <w:pStyle w:val="Normal"/>
        <w:tabs>
          <w:tab w:val="clear" w:pos="708"/>
          <w:tab w:val="left" w:pos="1440" w:leader="none"/>
        </w:tabs>
        <w:snapToGrid w:val="false"/>
        <w:spacing w:before="0" w:after="0"/>
        <w:contextualSpacing/>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lang w:eastAsia="en-US"/>
        </w:rPr>
        <w:t>2.5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lang w:eastAsia="en-US"/>
        </w:rPr>
      </w:r>
    </w:p>
    <w:p>
      <w:pPr>
        <w:pStyle w:val="Normal"/>
        <w:tabs>
          <w:tab w:val="clear" w:pos="708"/>
          <w:tab w:val="left" w:pos="1440" w:leader="none"/>
        </w:tabs>
        <w:snapToGrid w:val="false"/>
        <w:spacing w:before="0" w:after="0"/>
        <w:contextualSpacing/>
        <w:jc w:val="both"/>
        <w:rPr>
          <w:rFonts w:ascii="Arial" w:hAnsi="Arial" w:cs="Arial"/>
          <w:bCs/>
          <w:sz w:val="22"/>
          <w:szCs w:val="22"/>
        </w:rPr>
      </w:pPr>
      <w:r>
        <w:rPr>
          <w:rFonts w:cs="Arial" w:ascii="Arial" w:hAnsi="Arial"/>
          <w:bCs/>
          <w:sz w:val="22"/>
          <w:szCs w:val="22"/>
        </w:rPr>
        <w:t xml:space="preserve">2.6 Prova de </w:t>
      </w:r>
      <w:r>
        <w:rPr>
          <w:rFonts w:cs="Arial" w:ascii="Arial" w:hAnsi="Arial"/>
          <w:color w:val="000000"/>
          <w:sz w:val="22"/>
          <w:szCs w:val="22"/>
        </w:rPr>
        <w:t>inscrição no cadastro de contribuintes estadual e municipal, relativo ao domicílio ou sede do fornecedor, pertinente ao seu ramo de atividade e compatível com o objeto contratual</w:t>
      </w:r>
      <w:r>
        <w:rPr>
          <w:rFonts w:cs="Arial" w:ascii="Arial" w:hAnsi="Arial"/>
          <w:bCs/>
          <w:sz w:val="22"/>
          <w:szCs w:val="22"/>
        </w:rPr>
        <w:t>.</w:t>
      </w:r>
    </w:p>
    <w:p>
      <w:pPr>
        <w:pStyle w:val="Normal"/>
        <w:tabs>
          <w:tab w:val="clear" w:pos="708"/>
          <w:tab w:val="left" w:pos="1440" w:leader="none"/>
        </w:tabs>
        <w:snapToGrid w:val="false"/>
        <w:spacing w:before="0" w:after="0"/>
        <w:contextualSpacing/>
        <w:jc w:val="both"/>
        <w:rPr>
          <w:rFonts w:ascii="Arial" w:hAnsi="Arial" w:cs="Arial"/>
          <w:bCs/>
          <w:sz w:val="22"/>
          <w:szCs w:val="22"/>
        </w:rPr>
      </w:pPr>
      <w:r>
        <w:rPr>
          <w:rFonts w:cs="Arial" w:ascii="Arial" w:hAnsi="Arial"/>
          <w:bCs/>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bCs/>
          <w:sz w:val="22"/>
          <w:szCs w:val="22"/>
        </w:rPr>
        <w:t xml:space="preserve">2.6.1 O fornecedor enquadrado como microempreendedor individual que pretenda auferir os benefícios do tratamento diferenciado previstos na </w:t>
      </w:r>
      <w:hyperlink r:id="rId3">
        <w:r>
          <w:rPr>
            <w:rStyle w:val="Hyperlink"/>
            <w:rFonts w:cs="Arial" w:ascii="Arial" w:hAnsi="Arial"/>
            <w:bCs/>
            <w:sz w:val="22"/>
            <w:szCs w:val="22"/>
          </w:rPr>
          <w:t>Lei Complementar nº 123/2006</w:t>
        </w:r>
      </w:hyperlink>
      <w:r>
        <w:rPr>
          <w:rFonts w:cs="Arial" w:ascii="Arial" w:hAnsi="Arial"/>
          <w:bCs/>
          <w:sz w:val="22"/>
          <w:szCs w:val="22"/>
        </w:rPr>
        <w:t xml:space="preserve">, estará dispensado da prova de inscrição nos cadastros de contribuintes estadual e municipal, eis que a </w:t>
      </w:r>
      <w:r>
        <w:rPr>
          <w:rFonts w:cs="Arial" w:ascii="Arial" w:hAnsi="Arial"/>
          <w:sz w:val="22"/>
          <w:szCs w:val="22"/>
        </w:rPr>
        <w:t>apresentação do Certificado de Condição de Microempreendedor Individual – CCMEI supre tais requisitos.</w:t>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lang w:eastAsia="en-US"/>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t>2.7 Prova de regularidade com a Fazenda do Estado do Rio de Janeiro, mediante a apresentação de:</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lang w:eastAsia="en-US"/>
        </w:rPr>
      </w:pPr>
      <w:r>
        <w:rPr>
          <w:rFonts w:cs="Arial" w:ascii="Arial" w:hAnsi="Arial"/>
          <w:sz w:val="22"/>
          <w:szCs w:val="22"/>
        </w:rPr>
        <w:t xml:space="preserve">2.7.1 Certidão Negativa de Débitos, ou Certidão Positiva com efeito de Negativa, expedida pela Secretaria de Estado de Fazenda; e </w:t>
      </w:r>
    </w:p>
    <w:p>
      <w:pPr>
        <w:pStyle w:val="BodyTextIndent3"/>
        <w:spacing w:lineRule="auto" w:line="240" w:before="0" w:after="0"/>
        <w:ind w:hanging="0"/>
        <w:contextualSpacing/>
        <w:rPr>
          <w:rFonts w:cs="Arial"/>
          <w:sz w:val="22"/>
          <w:szCs w:val="22"/>
        </w:rPr>
      </w:pPr>
      <w:r>
        <w:rPr>
          <w:rFonts w:cs="Arial"/>
          <w:sz w:val="22"/>
          <w:szCs w:val="22"/>
        </w:rPr>
      </w:r>
    </w:p>
    <w:p>
      <w:pPr>
        <w:pStyle w:val="BodyTextIndent3"/>
        <w:spacing w:lineRule="auto" w:line="240" w:before="0" w:after="0"/>
        <w:ind w:hanging="0"/>
        <w:contextualSpacing/>
        <w:rPr>
          <w:rFonts w:cs="Arial"/>
          <w:sz w:val="22"/>
          <w:szCs w:val="22"/>
        </w:rPr>
      </w:pPr>
      <w:r>
        <w:rPr>
          <w:rFonts w:cs="Arial"/>
          <w:sz w:val="22"/>
          <w:szCs w:val="22"/>
        </w:rPr>
        <w:t>2.7.2 Certidão Negativa de Débitos em Dívida Ativa, ou Certidão Positiva com efeito de Negativa, para fins de participação em licitação, expedida pela Procuradoria Geral do Estado.</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t>2.8 Regularidade com a Fazend</w:t>
      </w:r>
      <w:r>
        <w:rPr>
          <w:rFonts w:cs="Arial" w:ascii="Arial" w:hAnsi="Arial"/>
          <w:color w:val="000000"/>
          <w:sz w:val="22"/>
          <w:szCs w:val="22"/>
        </w:rPr>
        <w:t>a Estadual e municipal do d</w:t>
      </w:r>
      <w:r>
        <w:rPr>
          <w:rFonts w:cs="Arial" w:ascii="Arial" w:hAnsi="Arial"/>
          <w:sz w:val="22"/>
          <w:szCs w:val="22"/>
        </w:rPr>
        <w:t xml:space="preserve">omicílio ou sede do fornecedor, relativa à atividade em cujo exercício contrata ou concorre, com a apresentação, conforme o caso, de: </w:t>
      </w:r>
    </w:p>
    <w:p>
      <w:pPr>
        <w:pStyle w:val="Normal"/>
        <w:tabs>
          <w:tab w:val="clear" w:pos="708"/>
          <w:tab w:val="left" w:pos="1440" w:leader="none"/>
        </w:tabs>
        <w:snapToGrid w:val="false"/>
        <w:spacing w:before="0" w:after="0"/>
        <w:contextualSpacing/>
        <w:jc w:val="both"/>
        <w:rPr>
          <w:rFonts w:ascii="Arial" w:hAnsi="Arial" w:cs="Arial"/>
          <w:sz w:val="22"/>
          <w:szCs w:val="22"/>
        </w:rPr>
      </w:pPr>
      <w:r>
        <w:rPr>
          <w:rFonts w:cs="Arial" w:ascii="Arial" w:hAnsi="Arial"/>
          <w:sz w:val="22"/>
          <w:szCs w:val="22"/>
        </w:rPr>
      </w:r>
    </w:p>
    <w:p>
      <w:pPr>
        <w:pStyle w:val="BodyTextIndent3"/>
        <w:spacing w:lineRule="auto" w:line="240" w:before="0" w:after="0"/>
        <w:ind w:hanging="0"/>
        <w:contextualSpacing/>
        <w:rPr>
          <w:rFonts w:cs="Arial"/>
          <w:sz w:val="22"/>
          <w:szCs w:val="22"/>
        </w:rPr>
      </w:pPr>
      <w:r>
        <w:rPr>
          <w:rFonts w:cs="Arial"/>
          <w:sz w:val="22"/>
          <w:szCs w:val="22"/>
        </w:rPr>
        <w:t xml:space="preserve"> </w:t>
      </w:r>
      <w:r>
        <w:rPr>
          <w:rFonts w:cs="Arial"/>
          <w:sz w:val="22"/>
          <w:szCs w:val="22"/>
        </w:rPr>
        <w:t xml:space="preserve">2.8.1 Certidão Negativa de Débitos, ou Certidão Positiva com efeito de Negativa, perante o Fisco estadual, pertinente ao Imposto sobre Operações relativas à Circulação de Mercadorias e sobre Prestações de Serviços de Transporte Interestadual, Intermunicipal e de Comunicação – ICMS, bem como de Certidão perante a Dívida Ativa estadual, podendo ser apresentada Certidão Conjunta em que constem ambas as informações; </w:t>
      </w:r>
    </w:p>
    <w:p>
      <w:pPr>
        <w:pStyle w:val="BodyTextIndent3"/>
        <w:spacing w:lineRule="auto" w:line="240" w:before="0" w:after="0"/>
        <w:ind w:hanging="0"/>
        <w:contextualSpacing/>
        <w:rPr>
          <w:rFonts w:cs="Arial"/>
          <w:sz w:val="22"/>
          <w:szCs w:val="22"/>
        </w:rPr>
      </w:pPr>
      <w:r>
        <w:rPr>
          <w:rFonts w:cs="Arial"/>
          <w:sz w:val="22"/>
          <w:szCs w:val="22"/>
        </w:rPr>
      </w:r>
    </w:p>
    <w:p>
      <w:pPr>
        <w:pStyle w:val="Default"/>
        <w:spacing w:before="0" w:after="0"/>
        <w:contextualSpacing/>
        <w:jc w:val="both"/>
        <w:rPr>
          <w:rFonts w:ascii="Arial" w:hAnsi="Arial" w:cs="Arial"/>
          <w:sz w:val="22"/>
          <w:szCs w:val="22"/>
        </w:rPr>
      </w:pPr>
      <w:r>
        <w:rPr>
          <w:rFonts w:cs="Arial" w:ascii="Arial" w:hAnsi="Arial"/>
          <w:sz w:val="22"/>
          <w:szCs w:val="22"/>
        </w:rPr>
        <w:t>2.8.2 Certidão Negativa de Débitos, ou Certidão Positiva com efeito de Negativa do Imposto sobre Serviços de Qualquer Natureza – ISS.</w:t>
      </w:r>
    </w:p>
    <w:p>
      <w:pPr>
        <w:pStyle w:val="Normal"/>
        <w:tabs>
          <w:tab w:val="clear" w:pos="708"/>
          <w:tab w:val="left" w:pos="1440" w:leader="none"/>
        </w:tabs>
        <w:snapToGrid w:val="false"/>
        <w:spacing w:before="0" w:after="0"/>
        <w:contextualSpacing/>
        <w:jc w:val="both"/>
        <w:rPr>
          <w:rFonts w:ascii="Arial" w:hAnsi="Arial" w:cs="Arial"/>
          <w:sz w:val="22"/>
          <w:szCs w:val="22"/>
          <w:highlight w:val="cyan"/>
        </w:rPr>
      </w:pPr>
      <w:r>
        <w:rPr>
          <w:rFonts w:cs="Arial" w:ascii="Arial" w:hAnsi="Arial"/>
          <w:sz w:val="22"/>
          <w:szCs w:val="22"/>
          <w:highlight w:val="cyan"/>
        </w:rPr>
      </w:r>
    </w:p>
    <w:p>
      <w:pPr>
        <w:pStyle w:val="Normal"/>
        <w:spacing w:before="0" w:after="0"/>
        <w:contextualSpacing/>
        <w:jc w:val="both"/>
        <w:rPr>
          <w:rFonts w:ascii="Arial" w:hAnsi="Arial" w:cs="Arial"/>
          <w:sz w:val="22"/>
          <w:szCs w:val="22"/>
        </w:rPr>
      </w:pPr>
      <w:r>
        <w:rPr>
          <w:rFonts w:cs="Arial" w:ascii="Arial" w:hAnsi="Arial"/>
          <w:sz w:val="22"/>
          <w:szCs w:val="22"/>
        </w:rPr>
        <w:t xml:space="preserve">2.9 Caso o fornecedor seja considerado isento dos tributos </w:t>
      </w:r>
      <w:r>
        <w:rPr>
          <w:rFonts w:cs="Arial" w:ascii="Arial" w:hAnsi="Arial"/>
          <w:iCs/>
          <w:color w:val="000000"/>
          <w:sz w:val="22"/>
          <w:szCs w:val="22"/>
        </w:rPr>
        <w:t xml:space="preserve">estaduais </w:t>
      </w:r>
      <w:r>
        <w:rPr>
          <w:rFonts w:cs="Arial" w:ascii="Arial" w:hAnsi="Arial"/>
          <w:color w:val="000000"/>
          <w:sz w:val="22"/>
          <w:szCs w:val="22"/>
        </w:rPr>
        <w:t xml:space="preserve">e </w:t>
      </w:r>
      <w:r>
        <w:rPr>
          <w:rFonts w:cs="Arial" w:ascii="Arial" w:hAnsi="Arial"/>
          <w:iCs/>
          <w:color w:val="000000"/>
          <w:sz w:val="22"/>
          <w:szCs w:val="22"/>
        </w:rPr>
        <w:t>municipais</w:t>
      </w:r>
      <w:r>
        <w:rPr>
          <w:rFonts w:cs="Arial" w:ascii="Arial" w:hAnsi="Arial"/>
          <w:color w:val="FF0000"/>
          <w:sz w:val="22"/>
          <w:szCs w:val="22"/>
        </w:rPr>
        <w:t xml:space="preserve"> </w:t>
      </w:r>
      <w:r>
        <w:rPr>
          <w:rFonts w:cs="Arial" w:ascii="Arial" w:hAnsi="Arial"/>
          <w:sz w:val="22"/>
          <w:szCs w:val="22"/>
        </w:rPr>
        <w:t>relacionados ao objeto contratual, deverá comprovar tal condição mediante a apresentação de declaração da Fazenda respectiva do seu domicílio ou sede, ou outra equivalente, na forma da lei.</w:t>
      </w:r>
    </w:p>
    <w:p>
      <w:pPr>
        <w:pStyle w:val="Normal"/>
        <w:spacing w:before="0" w:after="0"/>
        <w:contextualSpacing/>
        <w:rPr>
          <w:rFonts w:ascii="Arial" w:hAnsi="Arial" w:cs="Arial"/>
          <w:sz w:val="22"/>
          <w:szCs w:val="22"/>
        </w:rPr>
      </w:pPr>
      <w:r>
        <w:rPr>
          <w:rFonts w:cs="Arial" w:ascii="Arial" w:hAnsi="Arial"/>
          <w:sz w:val="22"/>
          <w:szCs w:val="22"/>
        </w:rPr>
      </w:r>
    </w:p>
    <w:p>
      <w:pPr>
        <w:pStyle w:val="BodyTextIndent"/>
        <w:spacing w:before="0" w:after="0"/>
        <w:ind w:start="0"/>
        <w:contextualSpacing/>
        <w:jc w:val="both"/>
        <w:rPr>
          <w:rFonts w:ascii="Arial" w:hAnsi="Arial" w:cs="Arial"/>
          <w:sz w:val="22"/>
          <w:szCs w:val="22"/>
        </w:rPr>
      </w:pPr>
      <w:bookmarkStart w:id="0" w:name="_Hlk178775808"/>
      <w:r>
        <w:rPr>
          <w:rFonts w:cs="Arial" w:ascii="Arial" w:hAnsi="Arial"/>
          <w:bCs/>
          <w:sz w:val="22"/>
          <w:szCs w:val="22"/>
        </w:rPr>
        <w:t>2.10</w:t>
      </w:r>
      <w:r>
        <w:rPr>
          <w:rFonts w:cs="Arial" w:ascii="Arial" w:hAnsi="Arial"/>
          <w:b/>
          <w:sz w:val="22"/>
          <w:szCs w:val="22"/>
        </w:rPr>
        <w:t xml:space="preserve"> </w:t>
      </w:r>
      <w:r>
        <w:rPr>
          <w:rFonts w:cs="Arial" w:ascii="Arial" w:hAnsi="Arial"/>
          <w:sz w:val="22"/>
          <w:szCs w:val="22"/>
        </w:rPr>
        <w:t>Na hipótese de cuidar-se de microempresa ou de empresa de pequeno porte, na forma do art. 42 da Lei Complementar nº 123/2006, a documentação somente será exigida para efeito de assinatura do contrato, caso se sagre vencedora no certame.</w:t>
      </w:r>
    </w:p>
    <w:p>
      <w:pPr>
        <w:pStyle w:val="Normal"/>
        <w:spacing w:before="0" w:after="0"/>
        <w:contextualSpacing/>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cs="Arial"/>
          <w:sz w:val="22"/>
          <w:szCs w:val="22"/>
        </w:rPr>
      </w:pPr>
      <w:r>
        <w:rPr>
          <w:rFonts w:cs="Arial" w:ascii="Arial" w:hAnsi="Arial"/>
          <w:sz w:val="22"/>
          <w:szCs w:val="22"/>
        </w:rPr>
        <w:t xml:space="preserve">2.10.1 Em sendo declarada vencedora do certame microempresa ou empresa de pequeno porte com débitos fiscais e trabalhistas, ficará assegurado, a partir de então, o prazo de 5 (cinco) dias úteis para a regularização da documentação, pagamento ou parcelamento do débito, e emissão de eventuais certidões negativas ou positivas com efeito de negativas, na forma do art. 43, § 1º, da Lei Complementar nº 123/2006. </w:t>
      </w:r>
      <w:bookmarkEnd w:id="0"/>
    </w:p>
    <w:p>
      <w:pPr>
        <w:pStyle w:val="Normal"/>
        <w:spacing w:before="0" w:after="0"/>
        <w:contextualSpacing/>
        <w:jc w:val="both"/>
        <w:rPr>
          <w:rFonts w:ascii="Arial" w:hAnsi="Arial" w:cs="Arial"/>
          <w:sz w:val="22"/>
          <w:szCs w:val="22"/>
        </w:rPr>
      </w:pPr>
      <w:r>
        <w:rPr>
          <w:rFonts w:cs="Arial" w:ascii="Arial" w:hAnsi="Arial"/>
          <w:sz w:val="22"/>
          <w:szCs w:val="22"/>
        </w:rPr>
      </w:r>
    </w:p>
    <w:p>
      <w:pPr>
        <w:pStyle w:val="Normal"/>
        <w:spacing w:before="0" w:after="0"/>
        <w:contextualSpacing/>
        <w:jc w:val="both"/>
        <w:rPr>
          <w:rFonts w:ascii="Arial" w:hAnsi="Arial" w:cs="Arial"/>
          <w:sz w:val="22"/>
          <w:szCs w:val="22"/>
        </w:rPr>
      </w:pPr>
      <w:r>
        <w:rPr>
          <w:rFonts w:cs="Arial" w:ascii="Arial" w:hAnsi="Arial"/>
          <w:sz w:val="22"/>
          <w:szCs w:val="22"/>
        </w:rPr>
        <w:t>2.10.2 O prazo acima poderá ser prorrogado por igual período, a critério exclusivo da Administração Pública.</w:t>
      </w:r>
    </w:p>
    <w:p>
      <w:pPr>
        <w:pStyle w:val="Normal"/>
        <w:spacing w:before="0" w:after="0"/>
        <w:contextualSpacing/>
        <w:jc w:val="both"/>
        <w:rPr>
          <w:rFonts w:ascii="Arial" w:hAnsi="Arial" w:cs="Arial"/>
          <w:bCs/>
          <w:sz w:val="22"/>
          <w:szCs w:val="22"/>
        </w:rPr>
      </w:pPr>
      <w:r>
        <w:rPr>
          <w:rFonts w:cs="Arial" w:ascii="Arial" w:hAnsi="Arial"/>
          <w:bCs/>
          <w:sz w:val="22"/>
          <w:szCs w:val="22"/>
        </w:rPr>
      </w:r>
    </w:p>
    <w:p>
      <w:pPr>
        <w:pStyle w:val="Normal"/>
        <w:spacing w:before="0" w:after="0"/>
        <w:contextualSpacing/>
        <w:jc w:val="both"/>
        <w:rPr>
          <w:rFonts w:ascii="Arial" w:hAnsi="Arial" w:cs="Arial"/>
          <w:sz w:val="22"/>
          <w:szCs w:val="22"/>
        </w:rPr>
      </w:pPr>
      <w:bookmarkStart w:id="1" w:name="_Hlk178775828"/>
      <w:r>
        <w:rPr>
          <w:rFonts w:cs="Arial" w:ascii="Arial" w:hAnsi="Arial"/>
          <w:bCs/>
          <w:sz w:val="22"/>
          <w:szCs w:val="22"/>
        </w:rPr>
        <w:t xml:space="preserve">2.10.3 </w:t>
      </w:r>
      <w:r>
        <w:rPr>
          <w:rFonts w:cs="Arial" w:ascii="Arial" w:hAnsi="Arial"/>
          <w:sz w:val="22"/>
          <w:szCs w:val="22"/>
        </w:rPr>
        <w:t xml:space="preserve">A não regularização da documentação no prazo estipulado implicará a decadência do direito à contratação, na forma do § 2º do art. 43 da Lei Complementar nº 123/2006, sem prejuízo da aplicação das sanções previstas neste Edital. </w:t>
      </w:r>
      <w:bookmarkEnd w:id="1"/>
    </w:p>
    <w:p>
      <w:pPr>
        <w:pStyle w:val="Normal"/>
        <w:spacing w:before="288" w:after="288"/>
        <w:contextualSpacing/>
        <w:jc w:val="center"/>
        <w:rPr>
          <w:rFonts w:ascii="Arial" w:hAnsi="Arial" w:eastAsia="MS Mincho" w:cs="Arial"/>
          <w:b/>
          <w:color w:val="FF0000"/>
          <w:sz w:val="22"/>
          <w:szCs w:val="22"/>
        </w:rPr>
      </w:pPr>
      <w:r>
        <w:rPr>
          <w:rFonts w:eastAsia="MS Mincho" w:cs="Arial" w:ascii="Arial" w:hAnsi="Arial"/>
          <w:b/>
          <w:color w:val="FF0000"/>
          <w:sz w:val="22"/>
          <w:szCs w:val="22"/>
        </w:rPr>
      </w:r>
    </w:p>
    <w:p>
      <w:pPr>
        <w:pStyle w:val="Normal"/>
        <w:jc w:val="both"/>
        <w:rPr>
          <w:rFonts w:ascii="Arial" w:hAnsi="Arial" w:cs="Arial"/>
          <w:sz w:val="22"/>
          <w:szCs w:val="22"/>
        </w:rPr>
      </w:pPr>
      <w:r>
        <w:rPr>
          <w:rFonts w:cs="Arial" w:ascii="Arial" w:hAnsi="Arial"/>
          <w:b/>
          <w:bCs/>
          <w:sz w:val="22"/>
          <w:szCs w:val="22"/>
        </w:rPr>
        <w:t xml:space="preserve">3. HABILITAÇÃO </w:t>
      </w:r>
      <w:r>
        <w:rPr>
          <w:rFonts w:cs="Arial" w:ascii="Arial" w:hAnsi="Arial"/>
          <w:b/>
          <w:bCs/>
          <w:color w:val="000000"/>
          <w:sz w:val="22"/>
          <w:szCs w:val="22"/>
        </w:rPr>
        <w:t xml:space="preserve">ECONÔMICO-FINANCEIRA: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3.1 Certidão negativa de falência expedida pelo distribuidor da sede do fornecedor, caso se trate de pessoa jurídica, ou certidão negativa de insolvência civil expedida pelo distribuidor do domicílio ou sede do fornecedor, caso se trate de pessoa física</w:t>
      </w:r>
      <w:r>
        <w:fldChar w:fldCharType="begin"/>
      </w:r>
      <w:r>
        <w:rPr>
          <w:rStyle w:val="Style"/>
          <w:rFonts w:cs="Arial" w:ascii="Arial" w:hAnsi="Arial"/>
          <w:sz w:val="22"/>
          <w:szCs w:val="22"/>
        </w:rPr>
        <w:instrText xml:space="preserve"> HYPERLINK "https://in.gov.br/en/web/dou/-/instrucao-normativa-seges/me-n-116-de-21-de-dezembro-de-2021-370926958" \l "art5"</w:instrText>
      </w:r>
      <w:r>
        <w:rPr>
          <w:rStyle w:val="Style"/>
          <w:rFonts w:cs="Arial" w:ascii="Arial" w:hAnsi="Arial"/>
          <w:sz w:val="22"/>
          <w:szCs w:val="22"/>
        </w:rPr>
        <w:fldChar w:fldCharType="separate"/>
      </w:r>
      <w:r>
        <w:rPr>
          <w:rStyle w:val="Style"/>
          <w:rFonts w:cs="Arial" w:ascii="Arial" w:hAnsi="Arial"/>
          <w:sz w:val="22"/>
          <w:szCs w:val="22"/>
        </w:rPr>
        <w:t xml:space="preserve"> </w:t>
      </w:r>
      <w:r>
        <w:rPr>
          <w:rStyle w:val="Style"/>
          <w:rFonts w:cs="Arial" w:ascii="Arial" w:hAnsi="Arial"/>
          <w:sz w:val="22"/>
          <w:szCs w:val="22"/>
        </w:rPr>
        <w:fldChar w:fldCharType="end"/>
      </w:r>
      <w:r>
        <w:rPr>
          <w:rFonts w:cs="Arial" w:ascii="Arial" w:hAnsi="Arial"/>
          <w:sz w:val="22"/>
          <w:szCs w:val="22"/>
        </w:rPr>
        <w:t xml:space="preserve"> ou de sociedade simples.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bookmarkStart w:id="2" w:name="_Hlk154232471"/>
      <w:r>
        <w:rPr>
          <w:rFonts w:cs="Arial" w:ascii="Arial" w:hAnsi="Arial"/>
          <w:sz w:val="22"/>
          <w:szCs w:val="22"/>
        </w:rPr>
        <w:t>3.1.1 Não será causa de inabilitação do licitante a anotação de distribuição de processo de recuperação judicial ou de pedido de homologação de recuperação extrajudicial.</w:t>
      </w:r>
    </w:p>
    <w:p>
      <w:pPr>
        <w:pStyle w:val="Normal"/>
        <w:jc w:val="both"/>
        <w:rPr>
          <w:rFonts w:ascii="Arial" w:hAnsi="Arial" w:cs="Arial"/>
          <w:color w:val="000000"/>
          <w:sz w:val="22"/>
          <w:szCs w:val="22"/>
        </w:rPr>
      </w:pPr>
      <w:r>
        <w:rPr>
          <w:rFonts w:cs="Arial" w:ascii="Arial" w:hAnsi="Arial"/>
          <w:color w:val="000000"/>
          <w:sz w:val="22"/>
          <w:szCs w:val="22"/>
        </w:rPr>
      </w:r>
      <w:bookmarkEnd w:id="2"/>
    </w:p>
    <w:p>
      <w:pPr>
        <w:pStyle w:val="Normal"/>
        <w:tabs>
          <w:tab w:val="clear" w:pos="708"/>
          <w:tab w:val="left" w:pos="1440" w:leader="none"/>
        </w:tabs>
        <w:snapToGrid w:val="false"/>
        <w:ind w:end="565"/>
        <w:jc w:val="both"/>
        <w:rPr>
          <w:color w:val="000000"/>
        </w:rPr>
      </w:pPr>
      <w:r>
        <w:rPr>
          <w:rFonts w:cs="Arial" w:ascii="Arial" w:hAnsi="Arial"/>
          <w:color w:val="000000"/>
          <w:sz w:val="22"/>
          <w:szCs w:val="22"/>
        </w:rPr>
        <w:t>3.2 Balanço patrimonial, demonstração de resultado de exercício e demais demonstrações contábeis dos 2 (dois) últimos exercícios sociais, vedada a sua substituição por balancetes ou balanços provisórios.</w:t>
      </w:r>
    </w:p>
    <w:p>
      <w:pPr>
        <w:pStyle w:val="Normal"/>
        <w:tabs>
          <w:tab w:val="clear" w:pos="708"/>
          <w:tab w:val="left" w:pos="1440" w:leader="none"/>
        </w:tabs>
        <w:snapToGrid w:val="false"/>
        <w:ind w:end="565"/>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ind w:end="565"/>
        <w:jc w:val="both"/>
        <w:rPr>
          <w:color w:val="000000"/>
        </w:rPr>
      </w:pPr>
      <w:r>
        <w:rPr>
          <w:rFonts w:cs="Arial" w:ascii="Arial" w:hAnsi="Arial"/>
          <w:color w:val="000000"/>
          <w:sz w:val="22"/>
          <w:szCs w:val="22"/>
        </w:rPr>
        <w:t>3.2.1 Os documentos referidos acima limitar-se-ão ao último exercício social no caso de a pessoa jurídica ter sido constituída há menos de 2 (dois) anos.</w:t>
      </w:r>
    </w:p>
    <w:p>
      <w:pPr>
        <w:pStyle w:val="Normal"/>
        <w:tabs>
          <w:tab w:val="clear" w:pos="708"/>
          <w:tab w:val="left" w:pos="1440" w:leader="none"/>
        </w:tabs>
        <w:snapToGrid w:val="false"/>
        <w:ind w:end="565"/>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ind w:end="565"/>
        <w:jc w:val="both"/>
        <w:rPr>
          <w:color w:val="000000"/>
        </w:rPr>
      </w:pPr>
      <w:r>
        <w:rPr>
          <w:rFonts w:cs="Arial" w:ascii="Arial" w:hAnsi="Arial"/>
          <w:color w:val="000000"/>
          <w:sz w:val="22"/>
          <w:szCs w:val="22"/>
        </w:rPr>
        <w:t>3.2.2 Os fornecedores criados no exercício financeiro da contratação deverão atender a todas as exigências da habilitação e ficam autorizados a substituir os demonstrativos contábeis pelo balanço de abertura;</w:t>
      </w:r>
    </w:p>
    <w:p>
      <w:pPr>
        <w:pStyle w:val="Normal"/>
        <w:ind w:end="565"/>
        <w:jc w:val="both"/>
        <w:rPr>
          <w:rFonts w:ascii="Arial" w:hAnsi="Arial" w:cs="Arial"/>
          <w:color w:val="000000"/>
          <w:sz w:val="22"/>
          <w:szCs w:val="22"/>
        </w:rPr>
      </w:pPr>
      <w:r>
        <w:rPr>
          <w:rFonts w:cs="Arial" w:ascii="Arial" w:hAnsi="Arial"/>
          <w:color w:val="000000"/>
          <w:sz w:val="22"/>
          <w:szCs w:val="22"/>
        </w:rPr>
      </w:r>
    </w:p>
    <w:p>
      <w:pPr>
        <w:pStyle w:val="Normal"/>
        <w:ind w:end="565"/>
        <w:jc w:val="both"/>
        <w:rPr>
          <w:color w:val="000000"/>
        </w:rPr>
      </w:pPr>
      <w:r>
        <w:rPr>
          <w:rFonts w:cs="Arial" w:ascii="Arial" w:hAnsi="Arial"/>
          <w:color w:val="000000"/>
          <w:sz w:val="22"/>
          <w:szCs w:val="22"/>
        </w:rPr>
        <w:t>3.2.2.1</w:t>
      </w:r>
      <w:r>
        <w:rPr>
          <w:rFonts w:eastAsia="Arial" w:cs="Arial" w:ascii="Arial" w:hAnsi="Arial"/>
          <w:color w:val="000000"/>
          <w:sz w:val="22"/>
          <w:szCs w:val="22"/>
        </w:rPr>
        <w:t xml:space="preserve"> Poderá ser apresentado o balanço intermediário, caso autorizado por lei ou pelo contrato/estatuto social.</w:t>
      </w:r>
    </w:p>
    <w:p>
      <w:pPr>
        <w:pStyle w:val="Normal"/>
        <w:ind w:end="565"/>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ind w:end="565"/>
        <w:jc w:val="both"/>
        <w:rPr>
          <w:color w:val="000000"/>
        </w:rPr>
      </w:pPr>
      <w:r>
        <w:rPr>
          <w:rFonts w:cs="Arial" w:ascii="Arial" w:hAnsi="Arial"/>
          <w:color w:val="000000"/>
          <w:sz w:val="22"/>
          <w:szCs w:val="22"/>
        </w:rPr>
        <w:t>3.2.3 Para fins de habilitação econômico-financeira de sociedade empresária em recuperação judicial deverão ser considerados os valores constantes no Plano de Recuperação Judicial, homologado pelo Juízo competente, para fins de apuração dos índices contábeis previstos no edital.</w:t>
      </w:r>
    </w:p>
    <w:p>
      <w:pPr>
        <w:pStyle w:val="Normal"/>
        <w:tabs>
          <w:tab w:val="clear" w:pos="708"/>
          <w:tab w:val="left" w:pos="1440" w:leader="none"/>
        </w:tabs>
        <w:snapToGrid w:val="false"/>
        <w:ind w:start="567" w:end="565"/>
        <w:jc w:val="both"/>
        <w:rPr>
          <w:rFonts w:ascii="Arial" w:hAnsi="Arial" w:cs="Arial"/>
          <w:color w:val="000000"/>
          <w:sz w:val="22"/>
          <w:szCs w:val="22"/>
        </w:rPr>
      </w:pPr>
      <w:r>
        <w:rPr>
          <w:rFonts w:cs="Arial" w:ascii="Arial" w:hAnsi="Arial"/>
          <w:color w:val="000000"/>
          <w:sz w:val="22"/>
          <w:szCs w:val="22"/>
        </w:rPr>
      </w:r>
    </w:p>
    <w:p>
      <w:pPr>
        <w:pStyle w:val="Normal"/>
        <w:tabs>
          <w:tab w:val="clear" w:pos="708"/>
          <w:tab w:val="left" w:pos="1440" w:leader="none"/>
        </w:tabs>
        <w:snapToGrid w:val="false"/>
        <w:ind w:end="565"/>
        <w:jc w:val="both"/>
        <w:rPr>
          <w:color w:val="000000"/>
        </w:rPr>
      </w:pPr>
      <w:r>
        <w:rPr>
          <w:rFonts w:cs="Arial" w:ascii="Arial" w:hAnsi="Arial"/>
          <w:color w:val="000000"/>
          <w:sz w:val="22"/>
          <w:szCs w:val="22"/>
        </w:rPr>
        <w:t xml:space="preserve">3.3 Comprovação da boa situação financeira da empresa mediante obtenção de índices de Liquidez Geral (LG), Solvência Geral (SG) e Liquidez Corrente (LC), iguais ou superiores a 1 (um), obtidos pela aplicação das seguintes fórmulas: </w:t>
      </w:r>
    </w:p>
    <w:p>
      <w:pPr>
        <w:pStyle w:val="Normal"/>
        <w:tabs>
          <w:tab w:val="clear" w:pos="708"/>
          <w:tab w:val="left" w:pos="1440" w:leader="none"/>
        </w:tabs>
        <w:snapToGrid w:val="false"/>
        <w:ind w:start="567" w:end="565"/>
        <w:jc w:val="both"/>
        <w:rPr>
          <w:rFonts w:ascii="Arial" w:hAnsi="Arial" w:cs="Arial"/>
          <w:color w:val="000000"/>
          <w:sz w:val="22"/>
          <w:szCs w:val="22"/>
        </w:rPr>
      </w:pPr>
      <w:r>
        <w:rPr>
          <w:rFonts w:cs="Arial" w:ascii="Arial" w:hAnsi="Arial"/>
          <w:color w:val="000000"/>
          <w:sz w:val="22"/>
          <w:szCs w:val="22"/>
        </w:rPr>
      </w:r>
    </w:p>
    <w:tbl>
      <w:tblPr>
        <w:tblW w:w="6487" w:type="dxa"/>
        <w:jc w:val="start"/>
        <w:tblInd w:w="1134" w:type="dxa"/>
        <w:tblLayout w:type="fixed"/>
        <w:tblCellMar>
          <w:top w:w="0" w:type="dxa"/>
          <w:start w:w="108" w:type="dxa"/>
          <w:bottom w:w="0" w:type="dxa"/>
          <w:end w:w="108" w:type="dxa"/>
        </w:tblCellMar>
        <w:tblLook w:val="04a0" w:firstRow="1" w:noVBand="1" w:lastRow="0" w:firstColumn="1" w:lastColumn="0" w:noHBand="0"/>
      </w:tblPr>
      <w:tblGrid>
        <w:gridCol w:w="2234"/>
        <w:gridCol w:w="4253"/>
      </w:tblGrid>
      <w:tr>
        <w:trPr/>
        <w:tc>
          <w:tcPr>
            <w:tcW w:w="2234" w:type="dxa"/>
            <w:vMerge w:val="restart"/>
            <w:tcBorders/>
            <w:vAlign w:val="center"/>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LG =</w:t>
            </w:r>
          </w:p>
        </w:tc>
        <w:tc>
          <w:tcPr>
            <w:tcW w:w="4253" w:type="dxa"/>
            <w:tcBorders>
              <w:bottom w:val="single" w:sz="4" w:space="0" w:color="000000"/>
            </w:tcBorders>
            <w:vAlign w:val="bottom"/>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Ativo Circulante + Realizável a Longo Prazo</w:t>
            </w:r>
          </w:p>
        </w:tc>
      </w:tr>
      <w:tr>
        <w:trPr/>
        <w:tc>
          <w:tcPr>
            <w:tcW w:w="2234" w:type="dxa"/>
            <w:vMerge w:val="continue"/>
            <w:tcBorders/>
          </w:tcPr>
          <w:p>
            <w:pPr>
              <w:pStyle w:val="Normal"/>
              <w:tabs>
                <w:tab w:val="clear" w:pos="708"/>
                <w:tab w:val="left" w:pos="1440" w:leader="none"/>
              </w:tabs>
              <w:snapToGrid w:val="false"/>
              <w:ind w:start="567" w:end="565"/>
              <w:jc w:val="both"/>
              <w:rPr>
                <w:rFonts w:ascii="Arial" w:hAnsi="Arial" w:eastAsia="Calibri" w:cs="Arial"/>
                <w:color w:val="000000"/>
                <w:sz w:val="22"/>
                <w:szCs w:val="22"/>
              </w:rPr>
            </w:pPr>
            <w:r>
              <w:rPr>
                <w:rFonts w:eastAsia="Calibri" w:cs="Arial" w:ascii="Arial" w:hAnsi="Arial"/>
                <w:color w:val="000000"/>
                <w:sz w:val="22"/>
                <w:szCs w:val="22"/>
              </w:rPr>
            </w:r>
          </w:p>
        </w:tc>
        <w:tc>
          <w:tcPr>
            <w:tcW w:w="4253" w:type="dxa"/>
            <w:tcBorders>
              <w:top w:val="single" w:sz="4" w:space="0" w:color="000000"/>
            </w:tcBorders>
          </w:tcPr>
          <w:p>
            <w:pPr>
              <w:pStyle w:val="Normal"/>
              <w:tabs>
                <w:tab w:val="clear" w:pos="708"/>
                <w:tab w:val="left" w:pos="1440" w:leader="none"/>
              </w:tabs>
              <w:snapToGrid w:val="false"/>
              <w:spacing w:beforeAutospacing="1" w:after="0"/>
              <w:ind w:start="567" w:end="565"/>
              <w:jc w:val="both"/>
              <w:rPr>
                <w:color w:val="000000"/>
              </w:rPr>
            </w:pPr>
            <w:r>
              <w:rPr>
                <w:rFonts w:eastAsia="Calibri" w:cs="Arial" w:ascii="Arial" w:hAnsi="Arial"/>
                <w:color w:val="000000"/>
                <w:sz w:val="22"/>
                <w:szCs w:val="22"/>
              </w:rPr>
              <w:t>Passivo Circulante + Passivo Não Circulante</w:t>
            </w:r>
          </w:p>
        </w:tc>
      </w:tr>
    </w:tbl>
    <w:p>
      <w:pPr>
        <w:pStyle w:val="Normal"/>
        <w:tabs>
          <w:tab w:val="clear" w:pos="708"/>
          <w:tab w:val="left" w:pos="1440" w:leader="none"/>
        </w:tabs>
        <w:snapToGrid w:val="false"/>
        <w:ind w:start="567" w:end="565"/>
        <w:jc w:val="both"/>
        <w:rPr>
          <w:rFonts w:ascii="Arial" w:hAnsi="Arial" w:cs="Arial"/>
          <w:color w:val="000000"/>
          <w:sz w:val="22"/>
          <w:szCs w:val="22"/>
        </w:rPr>
      </w:pPr>
      <w:r>
        <w:rPr>
          <w:rFonts w:cs="Arial" w:ascii="Arial" w:hAnsi="Arial"/>
          <w:color w:val="000000"/>
          <w:sz w:val="22"/>
          <w:szCs w:val="22"/>
        </w:rPr>
      </w:r>
    </w:p>
    <w:tbl>
      <w:tblPr>
        <w:tblW w:w="6629" w:type="dxa"/>
        <w:jc w:val="start"/>
        <w:tblInd w:w="1134" w:type="dxa"/>
        <w:tblLayout w:type="fixed"/>
        <w:tblCellMar>
          <w:top w:w="0" w:type="dxa"/>
          <w:start w:w="108" w:type="dxa"/>
          <w:bottom w:w="0" w:type="dxa"/>
          <w:end w:w="108" w:type="dxa"/>
        </w:tblCellMar>
        <w:tblLook w:val="04a0" w:firstRow="1" w:noVBand="1" w:lastRow="0" w:firstColumn="1" w:lastColumn="0" w:noHBand="0"/>
      </w:tblPr>
      <w:tblGrid>
        <w:gridCol w:w="2235"/>
        <w:gridCol w:w="4394"/>
      </w:tblGrid>
      <w:tr>
        <w:trPr>
          <w:cantSplit/>
        </w:trPr>
        <w:tc>
          <w:tcPr>
            <w:tcW w:w="2235" w:type="dxa"/>
            <w:vMerge w:val="restart"/>
            <w:tcBorders/>
            <w:vAlign w:val="center"/>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SG =</w:t>
            </w:r>
          </w:p>
        </w:tc>
        <w:tc>
          <w:tcPr>
            <w:tcW w:w="4394" w:type="dxa"/>
            <w:tcBorders>
              <w:bottom w:val="single" w:sz="4" w:space="0" w:color="000000"/>
            </w:tcBorders>
            <w:vAlign w:val="bottom"/>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Ativo Total</w:t>
            </w:r>
          </w:p>
        </w:tc>
      </w:tr>
      <w:tr>
        <w:trPr>
          <w:cantSplit/>
        </w:trPr>
        <w:tc>
          <w:tcPr>
            <w:tcW w:w="2235" w:type="dxa"/>
            <w:vMerge w:val="continue"/>
            <w:tcBorders/>
          </w:tcPr>
          <w:p>
            <w:pPr>
              <w:pStyle w:val="Normal"/>
              <w:tabs>
                <w:tab w:val="clear" w:pos="708"/>
                <w:tab w:val="left" w:pos="1440" w:leader="none"/>
              </w:tabs>
              <w:snapToGrid w:val="false"/>
              <w:ind w:start="567" w:end="565"/>
              <w:jc w:val="both"/>
              <w:rPr>
                <w:rFonts w:ascii="Arial" w:hAnsi="Arial" w:eastAsia="Calibri" w:cs="Arial"/>
                <w:color w:val="000000"/>
                <w:sz w:val="22"/>
                <w:szCs w:val="22"/>
              </w:rPr>
            </w:pPr>
            <w:r>
              <w:rPr>
                <w:rFonts w:eastAsia="Calibri" w:cs="Arial" w:ascii="Arial" w:hAnsi="Arial"/>
                <w:color w:val="000000"/>
                <w:sz w:val="22"/>
                <w:szCs w:val="22"/>
              </w:rPr>
            </w:r>
          </w:p>
        </w:tc>
        <w:tc>
          <w:tcPr>
            <w:tcW w:w="4394" w:type="dxa"/>
            <w:tcBorders>
              <w:top w:val="single" w:sz="4" w:space="0" w:color="000000"/>
            </w:tcBorders>
          </w:tcPr>
          <w:p>
            <w:pPr>
              <w:pStyle w:val="Normal"/>
              <w:tabs>
                <w:tab w:val="clear" w:pos="708"/>
                <w:tab w:val="left" w:pos="1440" w:leader="none"/>
              </w:tabs>
              <w:snapToGrid w:val="false"/>
              <w:spacing w:beforeAutospacing="1" w:after="0"/>
              <w:ind w:start="567" w:end="565"/>
              <w:jc w:val="both"/>
              <w:rPr>
                <w:color w:val="000000"/>
              </w:rPr>
            </w:pPr>
            <w:r>
              <w:rPr>
                <w:rFonts w:eastAsia="Calibri" w:cs="Arial" w:ascii="Arial" w:hAnsi="Arial"/>
                <w:color w:val="000000"/>
                <w:sz w:val="22"/>
                <w:szCs w:val="22"/>
              </w:rPr>
              <w:t>Passivo Circulante + Passivo Não Circulante</w:t>
            </w:r>
          </w:p>
        </w:tc>
      </w:tr>
    </w:tbl>
    <w:p>
      <w:pPr>
        <w:pStyle w:val="Normal"/>
        <w:tabs>
          <w:tab w:val="clear" w:pos="708"/>
          <w:tab w:val="left" w:pos="1440" w:leader="none"/>
        </w:tabs>
        <w:snapToGrid w:val="false"/>
        <w:ind w:start="567" w:end="565"/>
        <w:jc w:val="both"/>
        <w:rPr>
          <w:rFonts w:ascii="Arial" w:hAnsi="Arial" w:cs="Arial"/>
          <w:color w:val="000000"/>
          <w:sz w:val="22"/>
          <w:szCs w:val="22"/>
        </w:rPr>
      </w:pPr>
      <w:r>
        <w:rPr>
          <w:rFonts w:cs="Arial" w:ascii="Arial" w:hAnsi="Arial"/>
          <w:color w:val="000000"/>
          <w:sz w:val="22"/>
          <w:szCs w:val="22"/>
        </w:rPr>
      </w:r>
    </w:p>
    <w:tbl>
      <w:tblPr>
        <w:tblW w:w="4786" w:type="dxa"/>
        <w:jc w:val="start"/>
        <w:tblInd w:w="1134" w:type="dxa"/>
        <w:tblLayout w:type="fixed"/>
        <w:tblCellMar>
          <w:top w:w="0" w:type="dxa"/>
          <w:start w:w="108" w:type="dxa"/>
          <w:bottom w:w="0" w:type="dxa"/>
          <w:end w:w="108" w:type="dxa"/>
        </w:tblCellMar>
        <w:tblLook w:val="04a0" w:firstRow="1" w:noVBand="1" w:lastRow="0" w:firstColumn="1" w:lastColumn="0" w:noHBand="0"/>
      </w:tblPr>
      <w:tblGrid>
        <w:gridCol w:w="2235"/>
        <w:gridCol w:w="2551"/>
      </w:tblGrid>
      <w:tr>
        <w:trPr/>
        <w:tc>
          <w:tcPr>
            <w:tcW w:w="2235" w:type="dxa"/>
            <w:vMerge w:val="restart"/>
            <w:tcBorders/>
            <w:vAlign w:val="center"/>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LC =</w:t>
            </w:r>
          </w:p>
        </w:tc>
        <w:tc>
          <w:tcPr>
            <w:tcW w:w="2551" w:type="dxa"/>
            <w:tcBorders>
              <w:bottom w:val="single" w:sz="4" w:space="0" w:color="000000"/>
            </w:tcBorders>
            <w:vAlign w:val="bottom"/>
          </w:tcPr>
          <w:p>
            <w:pPr>
              <w:pStyle w:val="Normal"/>
              <w:tabs>
                <w:tab w:val="clear" w:pos="708"/>
                <w:tab w:val="left" w:pos="1440" w:leader="none"/>
              </w:tabs>
              <w:snapToGrid w:val="false"/>
              <w:ind w:start="567" w:end="565"/>
              <w:jc w:val="both"/>
              <w:rPr>
                <w:color w:val="000000"/>
              </w:rPr>
            </w:pPr>
            <w:r>
              <w:rPr>
                <w:rFonts w:eastAsia="Calibri" w:cs="Arial" w:ascii="Arial" w:hAnsi="Arial"/>
                <w:color w:val="000000"/>
                <w:sz w:val="22"/>
                <w:szCs w:val="22"/>
              </w:rPr>
              <w:t>Ativo Circulante</w:t>
            </w:r>
          </w:p>
        </w:tc>
      </w:tr>
      <w:tr>
        <w:trPr/>
        <w:tc>
          <w:tcPr>
            <w:tcW w:w="2235" w:type="dxa"/>
            <w:vMerge w:val="continue"/>
            <w:tcBorders/>
          </w:tcPr>
          <w:p>
            <w:pPr>
              <w:pStyle w:val="Normal"/>
              <w:tabs>
                <w:tab w:val="clear" w:pos="708"/>
                <w:tab w:val="left" w:pos="1440" w:leader="none"/>
              </w:tabs>
              <w:snapToGrid w:val="false"/>
              <w:ind w:start="567" w:end="565"/>
              <w:jc w:val="both"/>
              <w:rPr>
                <w:rFonts w:ascii="Arial" w:hAnsi="Arial" w:eastAsia="Calibri" w:cs="Arial"/>
                <w:color w:val="000000"/>
                <w:sz w:val="22"/>
                <w:szCs w:val="22"/>
              </w:rPr>
            </w:pPr>
            <w:r>
              <w:rPr>
                <w:rFonts w:eastAsia="Calibri" w:cs="Arial" w:ascii="Arial" w:hAnsi="Arial"/>
                <w:color w:val="000000"/>
                <w:sz w:val="22"/>
                <w:szCs w:val="22"/>
              </w:rPr>
            </w:r>
          </w:p>
        </w:tc>
        <w:tc>
          <w:tcPr>
            <w:tcW w:w="2551" w:type="dxa"/>
            <w:tcBorders>
              <w:top w:val="single" w:sz="4" w:space="0" w:color="000000"/>
            </w:tcBorders>
          </w:tcPr>
          <w:p>
            <w:pPr>
              <w:pStyle w:val="Normal"/>
              <w:tabs>
                <w:tab w:val="clear" w:pos="708"/>
                <w:tab w:val="left" w:pos="1440" w:leader="none"/>
              </w:tabs>
              <w:snapToGrid w:val="false"/>
              <w:spacing w:beforeAutospacing="1" w:after="0"/>
              <w:ind w:start="567" w:end="565"/>
              <w:jc w:val="both"/>
              <w:rPr>
                <w:color w:val="000000"/>
              </w:rPr>
            </w:pPr>
            <w:r>
              <w:rPr>
                <w:rFonts w:eastAsia="Calibri" w:cs="Arial" w:ascii="Arial" w:hAnsi="Arial"/>
                <w:color w:val="000000"/>
                <w:sz w:val="22"/>
                <w:szCs w:val="22"/>
              </w:rPr>
              <w:t>Passivo Circulante</w:t>
            </w:r>
          </w:p>
        </w:tc>
      </w:tr>
    </w:tbl>
    <w:p>
      <w:pPr>
        <w:pStyle w:val="pf0"/>
        <w:spacing w:beforeAutospacing="0" w:before="0" w:afterAutospacing="0" w:after="0"/>
        <w:ind w:start="567" w:end="565"/>
        <w:jc w:val="both"/>
        <w:rPr>
          <w:rFonts w:ascii="Arial" w:hAnsi="Arial" w:cs="Arial"/>
          <w:color w:val="000000"/>
          <w:sz w:val="22"/>
          <w:szCs w:val="22"/>
        </w:rPr>
      </w:pPr>
      <w:r>
        <w:rPr>
          <w:rFonts w:cs="Arial" w:ascii="Arial" w:hAnsi="Arial"/>
          <w:color w:val="000000"/>
          <w:sz w:val="22"/>
          <w:szCs w:val="22"/>
        </w:rPr>
      </w:r>
    </w:p>
    <w:p>
      <w:pPr>
        <w:pStyle w:val="pf0"/>
        <w:spacing w:beforeAutospacing="0" w:before="0" w:afterAutospacing="0" w:after="0"/>
        <w:ind w:end="565"/>
        <w:jc w:val="both"/>
        <w:rPr>
          <w:color w:val="000000"/>
        </w:rPr>
      </w:pPr>
      <w:r>
        <w:rPr>
          <w:rFonts w:cs="Arial" w:ascii="Arial" w:hAnsi="Arial"/>
          <w:color w:val="000000"/>
          <w:sz w:val="22"/>
          <w:szCs w:val="22"/>
        </w:rPr>
        <w:t>3.3.1 Caso seja apresentado resultado inferior ou igual a 1(um) em qualquer dos índices de Liquidez Geral (LG), Solvência Geral (SG) e Liquidez Corrente (LC), deverá ser comprovado capital ou patrimônio líquido mínimo de 10% (dez por cento) do valor total estimado da contratação ou do item pertinente.</w:t>
      </w:r>
    </w:p>
    <w:p>
      <w:pPr>
        <w:pStyle w:val="pf0"/>
        <w:spacing w:beforeAutospacing="0" w:before="0" w:afterAutospacing="0" w:after="0"/>
        <w:ind w:start="567" w:end="565"/>
        <w:jc w:val="both"/>
        <w:rPr>
          <w:rFonts w:ascii="Arial" w:hAnsi="Arial" w:cs="Arial"/>
          <w:color w:val="000000"/>
          <w:sz w:val="22"/>
          <w:szCs w:val="22"/>
        </w:rPr>
      </w:pPr>
      <w:r>
        <w:rPr>
          <w:rFonts w:cs="Arial" w:ascii="Arial" w:hAnsi="Arial"/>
          <w:color w:val="000000"/>
          <w:sz w:val="22"/>
          <w:szCs w:val="22"/>
        </w:rPr>
      </w:r>
    </w:p>
    <w:p>
      <w:pPr>
        <w:pStyle w:val="pf0"/>
        <w:spacing w:beforeAutospacing="0" w:before="0" w:afterAutospacing="0" w:after="0"/>
        <w:ind w:end="565"/>
        <w:contextualSpacing/>
        <w:jc w:val="both"/>
        <w:rPr>
          <w:color w:val="000000"/>
        </w:rPr>
      </w:pPr>
      <w:r>
        <w:rPr>
          <w:rFonts w:cs="Arial" w:ascii="Arial" w:hAnsi="Arial"/>
          <w:color w:val="000000"/>
          <w:sz w:val="22"/>
          <w:szCs w:val="22"/>
          <w:lang w:eastAsia="en-US"/>
        </w:rPr>
        <w:t>3.3.2 O atendimento dos índices econômicos previstos neste item deverá ser atestado mediante declaração assinada por profissional habilitado da área contábil, apresentada pelo fornecedor.</w:t>
      </w:r>
    </w:p>
    <w:p>
      <w:pPr>
        <w:pStyle w:val="pf0"/>
        <w:spacing w:before="0" w:after="0"/>
        <w:ind w:hanging="0" w:start="0" w:end="565"/>
        <w:jc w:val="both"/>
        <w:rPr>
          <w:rFonts w:ascii="Arial" w:hAnsi="Arial" w:cs="Arial"/>
          <w:i/>
          <w:iCs/>
          <w:color w:val="FF0000"/>
          <w:sz w:val="22"/>
          <w:szCs w:val="22"/>
        </w:rPr>
      </w:pPr>
      <w:r>
        <w:rPr>
          <w:rFonts w:ascii="Arial" w:hAnsi="Arial"/>
          <w:color w:val="000000"/>
          <w:sz w:val="22"/>
          <w:szCs w:val="22"/>
          <w:lang w:eastAsia="en-US"/>
        </w:rPr>
      </w:r>
    </w:p>
    <w:p>
      <w:pPr>
        <w:pStyle w:val="pf0"/>
        <w:spacing w:before="0" w:after="0"/>
        <w:ind w:hanging="0" w:start="0" w:end="565"/>
        <w:jc w:val="both"/>
        <w:rPr>
          <w:rFonts w:ascii="Arial" w:hAnsi="Arial" w:cs="Arial"/>
          <w:i/>
          <w:iCs/>
          <w:color w:val="FF0000"/>
          <w:sz w:val="22"/>
          <w:szCs w:val="22"/>
        </w:rPr>
      </w:pPr>
      <w:r>
        <w:rPr>
          <w:rFonts w:ascii="Arial" w:hAnsi="Arial"/>
          <w:color w:val="000000"/>
          <w:sz w:val="22"/>
          <w:szCs w:val="22"/>
          <w:lang w:eastAsia="en-US"/>
        </w:rPr>
        <w:t>3.4</w:t>
      </w:r>
      <w:r>
        <w:rPr>
          <w:rFonts w:ascii="Arial" w:hAnsi="Arial"/>
          <w:color w:val="000000"/>
          <w:sz w:val="22"/>
          <w:szCs w:val="22"/>
        </w:rPr>
        <w:t xml:space="preserve"> A empresa deverá apresentar, ainda, declaração contendo a relação de compromissos por ela assumidos, conforme modelo constante do </w:t>
      </w:r>
      <w:r>
        <w:rPr>
          <w:rFonts w:ascii="Arial" w:hAnsi="Arial"/>
          <w:b/>
          <w:bCs/>
          <w:color w:val="000000"/>
          <w:sz w:val="22"/>
          <w:szCs w:val="22"/>
        </w:rPr>
        <w:t xml:space="preserve">Anexo </w:t>
      </w:r>
      <w:r>
        <w:rPr>
          <w:rFonts w:ascii="Arial" w:hAnsi="Arial"/>
          <w:b/>
          <w:bCs/>
          <w:color w:val="000000"/>
          <w:sz w:val="22"/>
          <w:szCs w:val="22"/>
        </w:rPr>
        <w:t>XXIII</w:t>
      </w:r>
      <w:r>
        <w:rPr>
          <w:rFonts w:ascii="Arial" w:hAnsi="Arial"/>
          <w:color w:val="000000"/>
          <w:sz w:val="22"/>
          <w:szCs w:val="22"/>
        </w:rPr>
        <w:t>, que</w:t>
      </w:r>
      <w:r>
        <w:rPr>
          <w:color w:val="FF0000"/>
        </w:rPr>
        <w:t xml:space="preserve"> </w:t>
      </w:r>
      <w:r>
        <w:rPr>
          <w:rFonts w:ascii="Arial" w:hAnsi="Arial"/>
          <w:color w:val="000000"/>
          <w:sz w:val="22"/>
          <w:szCs w:val="22"/>
        </w:rPr>
        <w:t>importem em diminuição de sua capacidade econômico-financeira, excluídas parcelas já executadas de contratos firmados.</w:t>
      </w:r>
    </w:p>
    <w:p>
      <w:pPr>
        <w:pStyle w:val="Normal"/>
        <w:spacing w:before="0" w:after="0"/>
        <w:contextualSpacing/>
        <w:jc w:val="both"/>
        <w:rPr>
          <w:rFonts w:ascii="Arial" w:hAnsi="Arial" w:cs="Arial"/>
          <w:b/>
          <w:bCs/>
          <w:color w:val="FF0000"/>
          <w:sz w:val="22"/>
          <w:szCs w:val="22"/>
        </w:rPr>
      </w:pPr>
      <w:r>
        <w:rPr>
          <w:rFonts w:cs="Arial" w:ascii="Arial" w:hAnsi="Arial"/>
          <w:b/>
          <w:bCs/>
          <w:color w:val="FF0000"/>
          <w:sz w:val="22"/>
          <w:szCs w:val="22"/>
        </w:rPr>
      </w:r>
    </w:p>
    <w:p>
      <w:pPr>
        <w:pStyle w:val="pf0"/>
        <w:numPr>
          <w:ilvl w:val="0"/>
          <w:numId w:val="0"/>
        </w:numPr>
        <w:spacing w:beforeAutospacing="0" w:before="0" w:afterAutospacing="0" w:after="0"/>
        <w:ind w:hanging="0" w:start="0"/>
        <w:contextualSpacing/>
        <w:jc w:val="both"/>
        <w:rPr>
          <w:rFonts w:ascii="Arial" w:hAnsi="Arial" w:cs="Arial"/>
          <w:b/>
          <w:bCs/>
          <w:sz w:val="22"/>
          <w:szCs w:val="22"/>
        </w:rPr>
      </w:pPr>
      <w:r>
        <w:rPr>
          <w:rFonts w:cs="Arial" w:ascii="Arial" w:hAnsi="Arial"/>
          <w:b/>
          <w:bCs/>
          <w:sz w:val="22"/>
          <w:szCs w:val="22"/>
        </w:rPr>
        <w:t>4. HABILITAÇÃO TÉCNICA</w:t>
      </w:r>
    </w:p>
    <w:p>
      <w:pPr>
        <w:pStyle w:val="Default"/>
        <w:ind w:hanging="0" w:start="0"/>
        <w:rPr>
          <w:b/>
          <w:strike w:val="false"/>
          <w:dstrike w:val="false"/>
          <w:u w:val="none"/>
        </w:rPr>
      </w:pPr>
      <w:r>
        <w:rPr>
          <w:b/>
          <w:strike w:val="false"/>
          <w:dstrike w:val="false"/>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4.1 Será exigida para habilitação das empresas licitantes a apresentação das cópias dos seguintes documentos:</w:t>
      </w:r>
    </w:p>
    <w:p>
      <w:pPr>
        <w:pStyle w:val="Default"/>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Certidão de Registro do proponente no Conselho Regional de Engenharia e Agronomia (CREA) que habilite aLicitante, fornecedoras e instaladoras para o ramo de Engenharia Civil, Engenharia Elétrica e EngenhariaMecânica, com comprovada execução dos serviços pertinentes;</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Atestado de capacidade técnica: Comprovação de aptidão pela Proponente ou sócio administrador para a prestação de serviços, de acordo com as características, quantidades e prazos compatíveis com o objeto, mediante a apresentação de atestado(s) fornecido(s) por pessoas jurídicas de direito público ou privado, na seguinte forma:</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Atestado de obras de construção demonstrando a aptidão do proponente para execução de serviço decomplexidade tecnológica e operacional equivalente ou superior ao objeto desta contratação. É imprescindível que a empresa comprove já ter realizado obras de construção de tipologia de Complexo Exibidor conforme programa de necessidades proposto;</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Os atestados deverão referir-se a serviços prestados no âmbito de sua atividade econômica principal ou secundária especificadas no contrato social vigente;</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Poderá ser apresentado mais de um atestado de capacidade técnica, sendo aceito o seu somatório, desde que seja demonstrada a execução concomitante do objeto;</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 fornecedor disponibilizará todas as informações necessárias à comprovação da legitimidade dos atestados, dentre outros documentos, cópia do contrato que deu suporte à contratação, endereço atual da contratante e local em que foram prestados os serviços.</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Apresentação de profissional(is), devidamente registrado(s) no conselho profissional competente, nos seguintestermos:</w:t>
      </w:r>
    </w:p>
    <w:p>
      <w:pPr>
        <w:pStyle w:val="Default"/>
        <w:numPr>
          <w:ilvl w:val="0"/>
          <w:numId w:val="0"/>
        </w:numPr>
        <w:ind w:hanging="0" w:start="0"/>
        <w:jc w:val="both"/>
        <w:rPr>
          <w:rFonts w:ascii="Arial" w:hAnsi="Arial"/>
          <w:b/>
          <w:strike w:val="false"/>
          <w:dstrike w:val="false"/>
          <w:color w:val="000000"/>
          <w:sz w:val="22"/>
          <w:szCs w:val="22"/>
          <w:u w:val="none"/>
        </w:rPr>
      </w:pPr>
      <w:r>
        <w:rPr>
          <w:rFonts w:ascii="Arial" w:hAnsi="Arial"/>
          <w:b/>
          <w:strike w:val="false"/>
          <w:dstrike w:val="false"/>
          <w:color w:val="000000"/>
          <w:sz w:val="22"/>
          <w:szCs w:val="22"/>
          <w:u w:val="none"/>
        </w:rPr>
      </w:r>
    </w:p>
    <w:p>
      <w:pPr>
        <w:pStyle w:val="Default"/>
        <w:numPr>
          <w:ilvl w:val="0"/>
          <w:numId w:val="0"/>
        </w:numPr>
        <w:ind w:hanging="0" w:start="0"/>
        <w:jc w:val="both"/>
        <w:rPr>
          <w:rFonts w:ascii="Arial" w:hAnsi="Arial"/>
          <w:color w:val="FF4000"/>
          <w:sz w:val="22"/>
          <w:szCs w:val="22"/>
        </w:rPr>
      </w:pPr>
      <w:r>
        <w:rPr>
          <w:rFonts w:ascii="Arial" w:hAnsi="Arial"/>
          <w:b/>
          <w:strike w:val="false"/>
          <w:dstrike w:val="false"/>
          <w:color w:val="000000"/>
          <w:sz w:val="22"/>
          <w:szCs w:val="22"/>
          <w:u w:val="none"/>
        </w:rPr>
        <w:t xml:space="preserve">a) </w:t>
      </w:r>
      <w:r>
        <w:rPr>
          <w:rFonts w:ascii="Arial" w:hAnsi="Arial"/>
          <w:b w:val="false"/>
          <w:strike w:val="false"/>
          <w:dstrike w:val="false"/>
          <w:color w:val="000000"/>
          <w:sz w:val="22"/>
          <w:szCs w:val="22"/>
          <w:u w:val="none"/>
        </w:rPr>
        <w:t>Engenheiro(a) ou arquiteto(a) responsável técnico(a) pela execução dos serviços, legalmente habilitado(a),com experiência comprovada na tipologia de Complexo Exibidor, que deverá pertencer ao quadro permanente dalicitante, na data prevista para entrega da</w:t>
      </w:r>
      <w:r>
        <w:rPr>
          <w:rFonts w:ascii="Arial" w:hAnsi="Arial"/>
          <w:b w:val="false"/>
          <w:strike w:val="false"/>
          <w:dstrike w:val="false"/>
          <w:color w:val="FF4000"/>
          <w:sz w:val="22"/>
          <w:szCs w:val="22"/>
          <w:u w:val="none"/>
        </w:rPr>
        <w:t xml:space="preserve"> </w:t>
      </w:r>
      <w:r>
        <w:rPr>
          <w:rFonts w:ascii="Arial" w:hAnsi="Arial"/>
          <w:b w:val="false"/>
          <w:strike w:val="false"/>
          <w:dstrike w:val="false"/>
          <w:color w:val="000000"/>
          <w:sz w:val="22"/>
          <w:szCs w:val="22"/>
          <w:u w:val="none"/>
        </w:rPr>
        <w:t xml:space="preserve">proposta, entendendo-se como tal, para fins deste Projeto Básico, o sócioque comprove seu vínculo por intermédio de contrato social/estatuto social, o administrador ou o diretor ouempregado devidamente registrado em Carteira de Trabalho e Previdência Social. </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Este profissional deverá apresentar:</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Comprovação de habilitação ou registro junto ao Conselho Regional de Engenharia e Agronomia (CREA),ou, sendo o caso, junto ao Conselho de Arquitetura e Urbanismo (CAU);</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Vínculo com a empresa licitante ou, não havendo vínculo no momento da habilitação, declaração dedisponibilidade futura, conforme Acórdão n. 2607/2011-Plenário;</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 vínculo acima referido da licitante vencedora com os profissionais deverá subsistir por, no mínimo, toda afase de execução do serviço até sua entrega definitiva e o integral cumprimento do contrato entre a empresavencedora e a SECEC;</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Os profissionais poderão ser substituídos, durante os serviços, por outros que igualmente atendam àqualificação técnica, desde que com a devida anuência da Contratante;</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Para demonstração de vínculo com a empresa licitante, a comprovação poderá ser feita com a apresentaçãode cópia da carteira de trabalho (CTPS), em que conste a licitante como contratante, do contrato social da licitante em que conste o profissional como sócio, do contrato de trabalho, contrato civil de prestação de serviços ou, ainda, de declaração de contratação futura do profissional detentor do atestado apresentado,acompanhada de declaração de anuência do profissional;</w:t>
      </w:r>
    </w:p>
    <w:p>
      <w:pPr>
        <w:pStyle w:val="Default"/>
        <w:numPr>
          <w:ilvl w:val="0"/>
          <w:numId w:val="0"/>
        </w:numPr>
        <w:ind w:hanging="0" w:start="0"/>
        <w:jc w:val="both"/>
        <w:rPr>
          <w:rFonts w:ascii="Arial" w:hAnsi="Arial"/>
          <w:b/>
          <w:strike w:val="false"/>
          <w:dstrike w:val="false"/>
          <w:color w:val="000000"/>
          <w:sz w:val="22"/>
          <w:szCs w:val="22"/>
          <w:u w:val="none"/>
        </w:rPr>
      </w:pPr>
      <w:r>
        <w:rPr>
          <w:rFonts w:ascii="Arial" w:hAnsi="Arial"/>
          <w:b/>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Nota: </w:t>
      </w:r>
      <w:r>
        <w:rPr>
          <w:rFonts w:ascii="Arial" w:hAnsi="Arial"/>
          <w:b w:val="false"/>
          <w:strike w:val="false"/>
          <w:dstrike w:val="false"/>
          <w:color w:val="000000"/>
          <w:sz w:val="22"/>
          <w:szCs w:val="22"/>
          <w:u w:val="none"/>
        </w:rPr>
        <w:t xml:space="preserve">No decorrer da execução do serviço, os profissionais de que tratam estes subitens deverão participar da execução do objeto e poderão ser substituídos, nos termos do art. 67, §6º, da Lei nº 14.133/2021, porprofissionais de experiência equivalente ou superior, desde que a substituição seja aprovada pela Administração. </w:t>
      </w:r>
    </w:p>
    <w:p>
      <w:pPr>
        <w:pStyle w:val="Default"/>
        <w:numPr>
          <w:ilvl w:val="0"/>
          <w:numId w:val="0"/>
        </w:numPr>
        <w:ind w:hanging="0" w:start="0"/>
        <w:rPr>
          <w:b w:val="false"/>
          <w:color w:val="000000"/>
        </w:rPr>
      </w:pPr>
      <w:r>
        <w:rPr>
          <w:b w:val="false"/>
          <w:color w:val="000000"/>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b) </w:t>
      </w:r>
      <w:r>
        <w:rPr>
          <w:rFonts w:ascii="Arial" w:hAnsi="Arial"/>
          <w:b w:val="false"/>
          <w:strike w:val="false"/>
          <w:dstrike w:val="false"/>
          <w:color w:val="000000"/>
          <w:sz w:val="22"/>
          <w:szCs w:val="22"/>
          <w:u w:val="none"/>
        </w:rPr>
        <w:t>Declaração formal da disponibilidade de todo aparelhamento necessário a execução do contrato (máquinas eferramentas);</w:t>
      </w:r>
    </w:p>
    <w:p>
      <w:pPr>
        <w:pStyle w:val="Default"/>
        <w:numPr>
          <w:ilvl w:val="0"/>
          <w:numId w:val="0"/>
        </w:numPr>
        <w:ind w:hanging="0" w:start="0"/>
        <w:jc w:val="both"/>
        <w:rPr>
          <w:rFonts w:ascii="Arial" w:hAnsi="Arial"/>
          <w:b/>
          <w:strike w:val="false"/>
          <w:dstrike w:val="false"/>
          <w:color w:val="000000"/>
          <w:sz w:val="22"/>
          <w:szCs w:val="22"/>
          <w:u w:val="none"/>
        </w:rPr>
      </w:pPr>
      <w:r>
        <w:rPr>
          <w:rFonts w:ascii="Arial" w:hAnsi="Arial"/>
          <w:b/>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c) </w:t>
      </w:r>
      <w:r>
        <w:rPr>
          <w:rFonts w:ascii="Arial" w:hAnsi="Arial"/>
          <w:b w:val="false"/>
          <w:strike w:val="false"/>
          <w:dstrike w:val="false"/>
          <w:color w:val="000000"/>
          <w:sz w:val="22"/>
          <w:szCs w:val="22"/>
          <w:u w:val="none"/>
        </w:rPr>
        <w:t>Declaração de disponibilidade de todo pessoal técnico adequado para a realização do objeto da licitação.</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 local estará disponível para vistoria facultativa a fim de uma melhor avaliação por partes dos concorrentes, a ser agendada por meio do e-mail cooea@cultura.rj.gov.br, enviado até 10 dias corridos anteriores ao envio da proposta, onde o proponente reconhecerá todos os aspectos técnicos relacionados à execução do escopo licitado, especialmente por se tratar de um projeto de substituição e sistema existente. O proponente terá que apresentar o atestado de vistoria ou de renúncia da mesma.</w:t>
      </w:r>
    </w:p>
    <w:p>
      <w:pPr>
        <w:pStyle w:val="Default"/>
        <w:numPr>
          <w:ilvl w:val="0"/>
          <w:numId w:val="0"/>
        </w:numPr>
        <w:ind w:hanging="0" w:start="0"/>
        <w:jc w:val="both"/>
        <w:rPr>
          <w:b w:val="false"/>
          <w:strike w:val="false"/>
          <w:dstrike w:val="false"/>
          <w:color w:val="000000"/>
          <w:u w:val="none"/>
        </w:rPr>
      </w:pPr>
      <w:r>
        <w:rPr>
          <w:b w:val="false"/>
          <w:strike w:val="false"/>
          <w:dstrike w:val="false"/>
          <w:color w:val="000000"/>
          <w:u w:val="none"/>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Nota: </w:t>
      </w:r>
      <w:r>
        <w:rPr>
          <w:rFonts w:ascii="Arial" w:hAnsi="Arial"/>
          <w:b w:val="false"/>
          <w:strike w:val="false"/>
          <w:dstrike w:val="false"/>
          <w:color w:val="000000"/>
          <w:sz w:val="22"/>
          <w:szCs w:val="22"/>
          <w:u w:val="none"/>
        </w:rPr>
        <w:t>É vedada a indicação de um mesmo engenheiro como responsável técnico por mais de uma empresa proponente, fato este que inabilitará todas as envolvidas. Observação: Os serviços deverão ser executados po rprofissionais especialistas em restauro e recuperação estrutural de bens culturais, imóveis e integrados, com experiência comprovada em trabalhos de mesma natureza.</w:t>
      </w:r>
    </w:p>
    <w:p>
      <w:pPr>
        <w:pStyle w:val="Default"/>
        <w:numPr>
          <w:ilvl w:val="0"/>
          <w:numId w:val="0"/>
        </w:numPr>
        <w:ind w:hanging="0" w:start="0"/>
        <w:jc w:val="both"/>
        <w:rPr>
          <w:rFonts w:ascii="Arial" w:hAnsi="Arial"/>
          <w:b/>
          <w:strike w:val="false"/>
          <w:dstrike w:val="false"/>
          <w:color w:val="000000"/>
          <w:sz w:val="22"/>
          <w:szCs w:val="22"/>
          <w:u w:val="none"/>
        </w:rPr>
      </w:pPr>
      <w:r>
        <w:rPr>
          <w:rFonts w:ascii="Arial" w:hAnsi="Arial"/>
          <w:b/>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4.2 </w:t>
      </w:r>
      <w:r>
        <w:rPr>
          <w:rFonts w:ascii="Arial" w:hAnsi="Arial"/>
          <w:b w:val="false"/>
          <w:strike w:val="false"/>
          <w:dstrike w:val="false"/>
          <w:color w:val="000000"/>
          <w:sz w:val="22"/>
          <w:szCs w:val="22"/>
          <w:u w:val="none"/>
        </w:rPr>
        <w:t>Entendem</w:t>
        <w:noBreakHyphen/>
        <w:t>se por parcelas de maior relevância aquelas que apresentam destaque técnico específico no contexto do objeto contratado, caracterizando</w:t>
        <w:noBreakHyphen/>
        <w:t>se por maior complexidade tecnológica, grau elevado dedificuldade de execução ou por envolverem atividades que não são de domínio comum no mercado. Nessas hipóteses, a comprovação de experiência prévia revela</w:t>
        <w:noBreakHyphen/>
        <w:t>se essencial para assegurar a adequada execução do objeto.</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O valor significativo, por sua vez, refere</w:t>
        <w:noBreakHyphen/>
        <w:t>se à representatividade financeira de determinado item ou conjunto de itens em relação ao valor global da contratação.</w:t>
      </w:r>
    </w:p>
    <w:p>
      <w:pPr>
        <w:pStyle w:val="Default"/>
        <w:numPr>
          <w:ilvl w:val="0"/>
          <w:numId w:val="0"/>
        </w:numPr>
        <w:ind w:hanging="0" w:start="0"/>
        <w:jc w:val="both"/>
        <w:rPr>
          <w:rFonts w:ascii="Arial" w:hAnsi="Arial"/>
          <w:color w:val="FF4000"/>
          <w:sz w:val="22"/>
          <w:szCs w:val="22"/>
        </w:rPr>
      </w:pPr>
      <w:r>
        <w:rPr>
          <w:rFonts w:ascii="Arial" w:hAnsi="Arial"/>
          <w:b w:val="false"/>
          <w:strike w:val="false"/>
          <w:dstrike w:val="false"/>
          <w:color w:val="000000"/>
          <w:sz w:val="22"/>
          <w:szCs w:val="22"/>
          <w:u w:val="none"/>
        </w:rPr>
        <w:t>Como parâmetro objetivo para a identificação de parcelas de valor significativo em objetos complexos, que envolvem múltiplos serviços, como obras e serviços de engenharia, adota</w:t>
        <w:noBreakHyphen/>
        <w:t>se a faixa A da Curva ABC do orçamento, metodologia que classifica os itens segundo sua relevância financeira. Assim, para fins de qualificação técnica, consideram</w:t>
        <w:noBreakHyphen/>
        <w:t>se apenas os serviços enquadrados nessa faixa de maior impacto econômico. Nesse sentido,</w:t>
      </w:r>
      <w:r>
        <w:rPr>
          <w:rFonts w:ascii="Arial" w:hAnsi="Arial"/>
          <w:b w:val="false"/>
          <w:strike w:val="false"/>
          <w:dstrike w:val="false"/>
          <w:color w:val="FF4000"/>
          <w:sz w:val="22"/>
          <w:szCs w:val="22"/>
          <w:u w:val="none"/>
        </w:rPr>
        <w:t xml:space="preserve"> </w:t>
      </w:r>
      <w:r>
        <w:rPr>
          <w:rFonts w:ascii="Arial" w:hAnsi="Arial"/>
          <w:b w:val="false"/>
          <w:strike w:val="false"/>
          <w:dstrike w:val="false"/>
          <w:color w:val="000000"/>
          <w:sz w:val="22"/>
          <w:szCs w:val="22"/>
          <w:u w:val="none"/>
        </w:rPr>
        <w:t>procedeu</w:t>
        <w:noBreakHyphen/>
        <w:t>se à análise da Curva ABC do orçamento, tendo sido identificadas as parcelas de maior relevância técnica e financeira, considerando a Planilha Orçamentária apresentada para o presente objeto:</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1 - Conjunto ESTRUTURAL, incluindo formas (622,47 m²), concreto bombeado fck 30 Mpa(112,95 + 52,38 m³), laje pré-moldada (464,00 m²), totalizando 13,29% do orçamento - R$523.154,08 reais;</w:t>
      </w:r>
    </w:p>
    <w:p>
      <w:pPr>
        <w:pStyle w:val="Default"/>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 xml:space="preserve">2 - Execução de estaca raiz com diâmetro de 12" (300mm), perfurada em alteração de rocha, </w:t>
      </w:r>
      <w:r>
        <w:rPr>
          <w:rFonts w:ascii="Arial" w:hAnsi="Arial"/>
          <w:color w:val="000000"/>
          <w:sz w:val="22"/>
          <w:szCs w:val="22"/>
        </w:rPr>
        <w:t>incluindo perfuração, e fornecimento de todos os materiais e a injeção. - 408,00 m - 10,12% doorçamento - R$ 398.644,56;</w:t>
      </w:r>
    </w:p>
    <w:p>
      <w:pPr>
        <w:pStyle w:val="Default"/>
        <w:numPr>
          <w:ilvl w:val="0"/>
          <w:numId w:val="0"/>
        </w:numPr>
        <w:ind w:hanging="0" w:start="0"/>
        <w:jc w:val="start"/>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3 - Poltronas para cinema, comuns, para obesos e para pessoas com mobilidade reduzida, com encosto e assento, estrutrutura interna em madeira, c/curvatura anatomica, laminada e moldadaa quente e=15m, estofados c/espuma injetada poliuretano densidade de 50kg/m3 (encosto) e55kg/m3(assento), revestida de couro sintético 1,0mm ou tecido, encosto c/blindagem injetadade polipropileno, assento rebativel c/retorno automático a posição e apoio de bracos c/ portacopos - 92 unidades - 5,30% do orçamento - R$ 208.896,90 reais;</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4 - Parede divisória em painel cego de chapa de fibra de madeira de densidade média, tipo mdf15mm de espessura, armada sobre tarugamento de sarrafo, inclusive mata-juntas, medida pelaárea real, fazendo as portas parte do conjunto, exclusive suas ferragens e pintura - 244,74 m² -3,89% do orçamento - R$ 153.263,53 reais;</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5 - Alvenaria de vedação de blocos vazados de concreto de 14x19x39 cm (espessura 14cm) eargamassa de assentamento com preparo em betoneira - 850,01 m² - 2,93% do orçamento - R$115.320,85.</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 xml:space="preserve">6 - Estrutura metálica, com aço astm a-572, para estrutura de edificações, pilares, vigas principaise secundárias, escadas, patamares e chapas das bases da fundação, perdas e pintura detratamento, inclusive fornecimento de todos os materiais para ligações e fixações e montagem -1.950,00 kg - 2,09% do orçamento - R$ 82.270,50 reais. </w:t>
      </w:r>
    </w:p>
    <w:p>
      <w:pPr>
        <w:pStyle w:val="Normal"/>
        <w:numPr>
          <w:ilvl w:val="0"/>
          <w:numId w:val="0"/>
        </w:numPr>
        <w:ind w:hanging="0" w:start="0"/>
        <w:jc w:val="both"/>
        <w:rPr>
          <w:rFonts w:ascii="Arial" w:hAnsi="Arial"/>
          <w:b w:val="false"/>
          <w:strike w:val="false"/>
          <w:dstrike w:val="false"/>
          <w:color w:val="000000"/>
          <w:sz w:val="22"/>
          <w:szCs w:val="22"/>
          <w:u w:val="none"/>
        </w:rPr>
      </w:pPr>
      <w:r>
        <w:rPr>
          <w:rFonts w:ascii="Arial" w:hAnsi="Arial"/>
          <w:b w:val="false"/>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color w:val="000000"/>
          <w:sz w:val="22"/>
          <w:szCs w:val="22"/>
        </w:rPr>
        <w:t>Dessa forma, será exigida a comprovação de aptidão técnico operacional para o desempenho de atividade pertinente e compatível em características e quantitativos correspondentes a, no mínimo, 30% (trinta por cento) do objeto da licitação, a ser demonstrada mediante a execução pretérita de serviços similares aos acima especificados, conforme:</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Conjunto ESTRUTURAL, incluindo:</w:t>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 Formas de tabúas - 186,74 m²</w:t>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 Concreto bombeado fck 30 Mpa - 49,60 m³</w:t>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 Laje pré-moldada - 139,20 m²</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7 - Execução de estaca raiz com diâmetro de 12" (300mm), perfurada em alteração de rocha,incluindo perfuração, e fornecimento de todos os materiais e a injeção - 122,40 m</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8 - Poltronas para cinema, comuns, para obesos e para pessoas com mobilidade reduzida, com encosto e assento, estrutrutura interna em madeira, c/curvatura anatomica, laminada e moldadaa quente e=15m, estofados c/espuma injetada poliuretano densidade de 50kg/m3 (encosto) e55kg/m3(assento), revestida de couro sintético 1,0mm ou tecido, encosto c/blindagem injetadade polipropileno, assento rebativel c/retorno automático a posição e apoio de bracos c/ portacopos - 28 unidades</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rFonts w:ascii="Arial" w:hAnsi="Arial"/>
          <w:color w:val="FF4000"/>
          <w:sz w:val="22"/>
          <w:szCs w:val="22"/>
        </w:rPr>
      </w:pPr>
      <w:r>
        <w:rPr>
          <w:rFonts w:ascii="Arial" w:hAnsi="Arial"/>
          <w:strike w:val="false"/>
          <w:dstrike w:val="false"/>
          <w:color w:val="000000"/>
          <w:sz w:val="22"/>
          <w:szCs w:val="22"/>
          <w:u w:val="none"/>
        </w:rPr>
        <w:t>-9 - Parede divisória em painel cego de chapa de fibra de madeira de densidade média, tipo mdf15mm de espessura, armada sobre tarugamento de sarrafo, inclusive mata-juntas,</w:t>
      </w:r>
      <w:r>
        <w:rPr>
          <w:rFonts w:ascii="Arial" w:hAnsi="Arial"/>
          <w:strike w:val="false"/>
          <w:dstrike w:val="false"/>
          <w:color w:val="FF4000"/>
          <w:sz w:val="22"/>
          <w:szCs w:val="22"/>
          <w:u w:val="none"/>
        </w:rPr>
        <w:t xml:space="preserve"> </w:t>
      </w:r>
      <w:r>
        <w:rPr>
          <w:rFonts w:ascii="Arial" w:hAnsi="Arial"/>
          <w:strike w:val="false"/>
          <w:dstrike w:val="false"/>
          <w:color w:val="000000"/>
          <w:sz w:val="22"/>
          <w:szCs w:val="22"/>
          <w:u w:val="none"/>
        </w:rPr>
        <w:t>medida pela área real, fazendo as portas parte do conjunto, exclusive suas ferragens e pintura - 73,42 m²</w:t>
      </w:r>
    </w:p>
    <w:p>
      <w:pPr>
        <w:pStyle w:val="Default"/>
        <w:widowControl/>
        <w:numPr>
          <w:ilvl w:val="0"/>
          <w:numId w:val="0"/>
        </w:numPr>
        <w:suppressAutoHyphens w:val="true"/>
        <w:bidi w:val="0"/>
        <w:spacing w:lineRule="auto" w:line="240" w:before="0" w:after="0"/>
        <w:ind w:hanging="0" w:start="-57" w:end="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10 - Alvenaria de vedação de blocos vazados de concreto de 14x19x39 cm (espessura 14cm) eargamassa de assentamento com preparo em betoneira - 255,00 m²</w:t>
      </w:r>
    </w:p>
    <w:p>
      <w:pPr>
        <w:pStyle w:val="Default"/>
        <w:numPr>
          <w:ilvl w:val="0"/>
          <w:numId w:val="0"/>
        </w:numPr>
        <w:ind w:hanging="0" w:start="0"/>
        <w:jc w:val="both"/>
        <w:rPr>
          <w:rFonts w:ascii="Arial" w:hAnsi="Arial"/>
          <w:strike w:val="false"/>
          <w:dstrike w:val="false"/>
          <w:color w:val="000000"/>
          <w:sz w:val="22"/>
          <w:szCs w:val="22"/>
          <w:u w:val="none"/>
        </w:rPr>
      </w:pPr>
      <w:r>
        <w:rPr>
          <w:rFonts w:ascii="Arial" w:hAnsi="Arial"/>
          <w:strike w:val="false"/>
          <w:dstrike w:val="false"/>
          <w:color w:val="000000"/>
          <w:sz w:val="22"/>
          <w:szCs w:val="22"/>
          <w:u w:val="none"/>
        </w:rPr>
      </w:r>
    </w:p>
    <w:p>
      <w:pPr>
        <w:pStyle w:val="Default"/>
        <w:numPr>
          <w:ilvl w:val="0"/>
          <w:numId w:val="0"/>
        </w:numPr>
        <w:ind w:hanging="0" w:start="0"/>
        <w:jc w:val="both"/>
        <w:rPr>
          <w:color w:val="000000"/>
        </w:rPr>
      </w:pPr>
      <w:r>
        <w:rPr>
          <w:rFonts w:ascii="Arial" w:hAnsi="Arial"/>
          <w:strike w:val="false"/>
          <w:dstrike w:val="false"/>
          <w:color w:val="000000"/>
          <w:sz w:val="22"/>
          <w:szCs w:val="22"/>
          <w:u w:val="none"/>
        </w:rPr>
        <w:t xml:space="preserve">11 - Estrutura metálica, com aço astm a-572, para estrutura de edificações, pilares, vigas principaise secundárias, escadas, patamares e chapas das bases da fundação, perdas e pintura detratamento, inclusive fornecimento de todos os materiais para ligações e fixações e montagem -585,00 kg </w:t>
      </w:r>
    </w:p>
    <w:p>
      <w:pPr>
        <w:pStyle w:val="Default"/>
        <w:numPr>
          <w:ilvl w:val="0"/>
          <w:numId w:val="0"/>
        </w:numPr>
        <w:ind w:hanging="0" w:start="0"/>
        <w:jc w:val="both"/>
        <w:rPr>
          <w:rFonts w:ascii="Arial" w:hAnsi="Arial"/>
          <w:b/>
          <w:strike w:val="false"/>
          <w:dstrike w:val="false"/>
          <w:sz w:val="22"/>
          <w:szCs w:val="22"/>
          <w:u w:val="none"/>
        </w:rPr>
      </w:pPr>
      <w:r>
        <w:rPr>
          <w:rFonts w:ascii="Arial" w:hAnsi="Arial"/>
          <w:b/>
          <w:strike w:val="false"/>
          <w:dstrike w:val="false"/>
          <w:sz w:val="22"/>
          <w:szCs w:val="22"/>
          <w:u w:val="none"/>
        </w:rPr>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A documentação relativa à qualificação técnica está prevista no Art. 67, inciso II, §§ 1º e 2º da Lei14.133.</w:t>
      </w:r>
    </w:p>
    <w:p>
      <w:pPr>
        <w:pStyle w:val="Default"/>
        <w:numPr>
          <w:ilvl w:val="0"/>
          <w:numId w:val="0"/>
        </w:numPr>
        <w:ind w:hanging="0" w:start="0"/>
        <w:jc w:val="both"/>
        <w:rPr>
          <w:color w:val="000000"/>
        </w:rPr>
      </w:pPr>
      <w:r>
        <w:rPr>
          <w:rFonts w:ascii="Arial" w:hAnsi="Arial"/>
          <w:b w:val="false"/>
          <w:color w:val="000000"/>
          <w:sz w:val="22"/>
          <w:szCs w:val="22"/>
        </w:rPr>
        <w:t xml:space="preserve">Apresentação das Anotações/Registros de Responsabilidade Técnica (ART/RRT) dos profissionais responsáveis pela execução da obra e pela elaboração dos projetos, estudos e laudos necessários, inclusive aART/RRT do responsável técnico legal da empresa contratada, todas devidamente emitidas pelos conselhos profissionais competentes (CREA/CAU). </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Autorizações e licenças necessárias para a execução do objeto:</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 Licenciamento ambiental;</w:t>
      </w:r>
    </w:p>
    <w:p>
      <w:pPr>
        <w:pStyle w:val="Default"/>
        <w:numPr>
          <w:ilvl w:val="0"/>
          <w:numId w:val="0"/>
        </w:numPr>
        <w:ind w:hanging="0" w:start="0"/>
        <w:jc w:val="both"/>
        <w:rPr>
          <w:color w:val="000000"/>
        </w:rPr>
      </w:pPr>
      <w:r>
        <w:rPr>
          <w:rFonts w:ascii="Arial" w:hAnsi="Arial"/>
          <w:b w:val="false"/>
          <w:strike w:val="false"/>
          <w:dstrike w:val="false"/>
          <w:color w:val="000000"/>
          <w:sz w:val="22"/>
          <w:szCs w:val="22"/>
          <w:u w:val="none"/>
        </w:rPr>
        <w:t>- Licenciamento junto à Prefeitura.</w:t>
      </w:r>
    </w:p>
    <w:p>
      <w:pPr>
        <w:pStyle w:val="Default"/>
        <w:numPr>
          <w:ilvl w:val="0"/>
          <w:numId w:val="0"/>
        </w:numPr>
        <w:ind w:hanging="0" w:start="0"/>
        <w:jc w:val="both"/>
        <w:rPr>
          <w:rFonts w:ascii="Arial" w:hAnsi="Arial"/>
          <w:b/>
          <w:strike w:val="false"/>
          <w:dstrike w:val="false"/>
          <w:color w:val="000000"/>
          <w:sz w:val="20"/>
          <w:szCs w:val="22"/>
          <w:u w:val="none"/>
        </w:rPr>
      </w:pPr>
      <w:r>
        <w:rPr>
          <w:rFonts w:ascii="Arial" w:hAnsi="Arial"/>
          <w:b/>
          <w:strike w:val="false"/>
          <w:dstrike w:val="false"/>
          <w:color w:val="000000"/>
          <w:sz w:val="20"/>
          <w:szCs w:val="22"/>
          <w:u w:val="none"/>
        </w:rPr>
      </w:r>
    </w:p>
    <w:p>
      <w:pPr>
        <w:pStyle w:val="Default"/>
        <w:numPr>
          <w:ilvl w:val="0"/>
          <w:numId w:val="0"/>
        </w:numPr>
        <w:ind w:hanging="0" w:start="0"/>
        <w:jc w:val="both"/>
        <w:rPr>
          <w:color w:val="000000"/>
        </w:rPr>
      </w:pPr>
      <w:r>
        <w:rPr>
          <w:rFonts w:ascii="Arial" w:hAnsi="Arial"/>
          <w:b/>
          <w:strike w:val="false"/>
          <w:dstrike w:val="false"/>
          <w:color w:val="000000"/>
          <w:sz w:val="22"/>
          <w:szCs w:val="22"/>
          <w:u w:val="none"/>
        </w:rPr>
        <w:t xml:space="preserve">Nota: Reitera-se que é condicionante para a autorização de início do objeto a apresentação dos protocolos junto aos órgãos públicos e concessionárias. (Licença Ambiental, Autorização da Prefeitura, InstalaçõesProvisórias de água e energia). </w:t>
      </w:r>
    </w:p>
    <w:p>
      <w:pPr>
        <w:pStyle w:val="Default"/>
        <w:numPr>
          <w:ilvl w:val="0"/>
          <w:numId w:val="0"/>
        </w:numPr>
        <w:ind w:hanging="0" w:start="0"/>
        <w:jc w:val="start"/>
        <w:rPr>
          <w:b w:val="false"/>
          <w:strike w:val="false"/>
          <w:dstrike w:val="false"/>
          <w:color w:val="000000"/>
          <w:sz w:val="20"/>
          <w:u w:val="none"/>
        </w:rPr>
      </w:pPr>
      <w:r>
        <w:rPr>
          <w:b w:val="false"/>
          <w:strike w:val="false"/>
          <w:dstrike w:val="false"/>
          <w:color w:val="000000"/>
          <w:sz w:val="20"/>
          <w:u w:val="none"/>
        </w:rPr>
      </w:r>
    </w:p>
    <w:p>
      <w:pPr>
        <w:pStyle w:val="ListParagraph"/>
        <w:numPr>
          <w:ilvl w:val="0"/>
          <w:numId w:val="0"/>
        </w:numPr>
        <w:spacing w:before="96" w:after="120"/>
        <w:ind w:hanging="0" w:start="0"/>
        <w:contextualSpacing w:val="false"/>
        <w:jc w:val="both"/>
        <w:rPr>
          <w:rFonts w:ascii="Arial" w:hAnsi="Arial" w:cs="Arial"/>
          <w:color w:val="000000"/>
          <w:sz w:val="22"/>
          <w:szCs w:val="22"/>
        </w:rPr>
      </w:pPr>
      <w:r>
        <w:rPr>
          <w:rFonts w:cs="Arial" w:ascii="Arial" w:hAnsi="Arial"/>
          <w:b/>
          <w:bCs/>
          <w:color w:val="000000"/>
          <w:sz w:val="22"/>
          <w:szCs w:val="22"/>
        </w:rPr>
        <w:t>4.3 QUANTO A VISITA TÉCNICA</w:t>
      </w:r>
    </w:p>
    <w:p>
      <w:pPr>
        <w:pStyle w:val="ListParagraph"/>
        <w:numPr>
          <w:ilvl w:val="0"/>
          <w:numId w:val="1"/>
        </w:numPr>
        <w:spacing w:before="120" w:after="120"/>
        <w:ind w:hanging="0" w:start="0" w:end="120"/>
        <w:contextualSpacing w:val="false"/>
        <w:jc w:val="both"/>
        <w:rPr>
          <w:color w:val="000000"/>
        </w:rPr>
      </w:pPr>
      <w:r>
        <w:rPr>
          <w:rFonts w:cs="Arial" w:ascii="Arial" w:hAnsi="Arial"/>
          <w:color w:val="000000"/>
          <w:sz w:val="22"/>
          <w:szCs w:val="22"/>
        </w:rPr>
        <w:t>A Licitante deverá agendar, com prévia antecedência de no mínimo uma semana, de forma facultativa através do e-mail cooea@cultura.rj.gov.br, com cópia para o e-mail tassio.pereira@cultura.rj.gov.br, visita prévia para inspecionar as condições do local. A visita deverá se dar em horário comercial, de segunda à sexta-feira, das 9:00h às 17:00h, com o acompanhamento de um indicado pela Secretaria, até o limite do dia anterior ao da licitação, de modo a obter, para sua própria utilização e por sua exclusiva responsabilidade, toda a informação necessária à elaboração da proposta, sendo recomendada a juntada do Termo de Vistoria ou Declaração de Renúncia à Vistoria</w:t>
      </w:r>
      <w:r>
        <w:rPr>
          <w:rFonts w:eastAsia="" w:cs="Arial" w:ascii="Arial" w:hAnsi="Arial" w:eastAsiaTheme="majorEastAsia"/>
          <w:b/>
          <w:bCs/>
          <w:color w:val="000000"/>
          <w:sz w:val="22"/>
          <w:szCs w:val="22"/>
        </w:rPr>
        <w:t> </w:t>
      </w:r>
      <w:r>
        <w:rPr>
          <w:rFonts w:cs="Arial" w:ascii="Arial" w:hAnsi="Arial"/>
          <w:color w:val="000000"/>
          <w:sz w:val="22"/>
          <w:szCs w:val="22"/>
        </w:rPr>
        <w:t>emitida pela Contratante nos autos do processo licitatório.</w:t>
      </w:r>
    </w:p>
    <w:p>
      <w:pPr>
        <w:pStyle w:val="Normal"/>
        <w:numPr>
          <w:ilvl w:val="0"/>
          <w:numId w:val="1"/>
        </w:numPr>
        <w:spacing w:before="120" w:after="120"/>
        <w:ind w:hanging="360" w:start="0" w:end="120"/>
        <w:jc w:val="both"/>
        <w:rPr>
          <w:color w:val="000000"/>
        </w:rPr>
      </w:pPr>
      <w:r>
        <w:rPr>
          <w:rFonts w:cs="Arial" w:ascii="Arial" w:hAnsi="Arial"/>
          <w:color w:val="000000"/>
          <w:sz w:val="22"/>
          <w:szCs w:val="22"/>
        </w:rPr>
        <w:t>O </w:t>
      </w:r>
      <w:r>
        <w:rPr>
          <w:rFonts w:eastAsia="" w:cs="Arial" w:ascii="Arial" w:hAnsi="Arial" w:eastAsiaTheme="majorEastAsia"/>
          <w:b/>
          <w:bCs/>
          <w:color w:val="000000"/>
          <w:sz w:val="22"/>
          <w:szCs w:val="22"/>
        </w:rPr>
        <w:t>Termo de Vistoria</w:t>
      </w:r>
      <w:r>
        <w:rPr>
          <w:rFonts w:cs="Arial" w:ascii="Arial" w:hAnsi="Arial"/>
          <w:color w:val="000000"/>
          <w:sz w:val="22"/>
          <w:szCs w:val="22"/>
        </w:rPr>
        <w:t> indicará que a empresa licitante tomou conhecimento de todas as informações e das condições locais para cumprimento das obrigações relativas ao objeto licitado. Todos os custos associados às visitas e à inspeção serão de inteira responsabilidade da licitante.</w:t>
      </w:r>
    </w:p>
    <w:p>
      <w:pPr>
        <w:pStyle w:val="Normal"/>
        <w:numPr>
          <w:ilvl w:val="0"/>
          <w:numId w:val="1"/>
        </w:numPr>
        <w:spacing w:before="120" w:after="120"/>
        <w:ind w:hanging="360" w:start="0" w:end="120"/>
        <w:jc w:val="both"/>
        <w:rPr>
          <w:color w:val="000000"/>
        </w:rPr>
      </w:pPr>
      <w:r>
        <w:rPr>
          <w:rFonts w:cs="Arial" w:ascii="Arial" w:hAnsi="Arial"/>
          <w:color w:val="000000"/>
          <w:sz w:val="22"/>
          <w:szCs w:val="22"/>
        </w:rPr>
        <w:t> </w:t>
      </w:r>
      <w:r>
        <w:rPr>
          <w:rFonts w:cs="Arial" w:ascii="Arial" w:hAnsi="Arial"/>
          <w:color w:val="000000"/>
          <w:sz w:val="22"/>
          <w:szCs w:val="22"/>
        </w:rPr>
        <w:t>Todas as condições locais da obra deverão ser adequadamente observadas nessa visita, quando os licitantes deverão conhecer e equacionar, mediante inspeção preliminar e coleta de informações, todos os dados e elementos que possam vir a ter influência no desenvolvimento dos trabalhos.</w:t>
      </w:r>
    </w:p>
    <w:p>
      <w:pPr>
        <w:pStyle w:val="Normal"/>
        <w:numPr>
          <w:ilvl w:val="0"/>
          <w:numId w:val="1"/>
        </w:numPr>
        <w:spacing w:before="120" w:after="120"/>
        <w:ind w:hanging="360" w:start="0" w:end="120"/>
        <w:jc w:val="both"/>
        <w:rPr>
          <w:rFonts w:ascii="Arial" w:hAnsi="Arial" w:cs="Arial"/>
          <w:color w:val="EE0000"/>
          <w:sz w:val="22"/>
          <w:szCs w:val="22"/>
        </w:rPr>
      </w:pPr>
      <w:r>
        <w:rPr>
          <w:rFonts w:cs="Arial" w:ascii="Arial" w:hAnsi="Arial"/>
          <w:color w:val="000000"/>
          <w:sz w:val="22"/>
          <w:szCs w:val="22"/>
        </w:rPr>
        <w:t>Caso a visita técnica não seja realizada, a empresa proponente deve apresentar a </w:t>
      </w:r>
      <w:r>
        <w:rPr>
          <w:rFonts w:eastAsia="" w:cs="Arial" w:ascii="Arial" w:hAnsi="Arial" w:eastAsiaTheme="majorEastAsia"/>
          <w:b/>
          <w:bCs/>
          <w:color w:val="000000"/>
          <w:sz w:val="22"/>
          <w:szCs w:val="22"/>
        </w:rPr>
        <w:t>Declaração de Renúncia à Vistoria</w:t>
      </w:r>
      <w:r>
        <w:rPr>
          <w:rFonts w:cs="Arial" w:ascii="Arial" w:hAnsi="Arial"/>
          <w:color w:val="000000"/>
          <w:sz w:val="22"/>
          <w:szCs w:val="22"/>
        </w:rPr>
        <w:t>, emitida em papel timbrado da empresa, declarando renunciar a vistoria técnica aos locais e as instalações para prestação dos serviços constantes do objeto bem como seus anexos, pelo que aceitam seus termos e comprometem-se a observá-los integralmente, </w:t>
      </w:r>
      <w:r>
        <w:rPr>
          <w:rFonts w:eastAsia="" w:cs="Arial" w:ascii="Arial" w:hAnsi="Arial" w:eastAsiaTheme="majorEastAsia"/>
          <w:b/>
          <w:bCs/>
          <w:color w:val="000000"/>
          <w:sz w:val="22"/>
          <w:szCs w:val="22"/>
        </w:rPr>
        <w:t>não podendo alegar o desconhecimento de fatos evidentes à época da vistoria para solicitar qualquer alteração do valor do contrato que vier a celebrar, tornando-se responsável por</w:t>
      </w:r>
      <w:r>
        <w:rPr>
          <w:rFonts w:eastAsia="" w:cs="Arial" w:ascii="Arial" w:hAnsi="Arial" w:eastAsiaTheme="majorEastAsia"/>
          <w:b/>
          <w:bCs/>
          <w:color w:val="EE0000"/>
          <w:sz w:val="22"/>
          <w:szCs w:val="22"/>
        </w:rPr>
        <w:t xml:space="preserve"> </w:t>
      </w:r>
      <w:r>
        <w:rPr>
          <w:rFonts w:eastAsia="" w:cs="Arial" w:ascii="Arial" w:hAnsi="Arial" w:eastAsiaTheme="majorEastAsia"/>
          <w:b/>
          <w:bCs/>
          <w:color w:val="000000"/>
          <w:sz w:val="22"/>
          <w:szCs w:val="22"/>
        </w:rPr>
        <w:t>todos os ônus que vierem a ocorrer pelo não conhecimento prévio do local onde se dará a obra.</w:t>
      </w:r>
    </w:p>
    <w:p>
      <w:pPr>
        <w:pStyle w:val="Normal"/>
        <w:numPr>
          <w:ilvl w:val="0"/>
          <w:numId w:val="0"/>
        </w:numPr>
        <w:ind w:hanging="0" w:start="0"/>
        <w:jc w:val="both"/>
        <w:rPr>
          <w:rFonts w:ascii="Arial" w:hAnsi="Arial" w:cs="Arial"/>
          <w:color w:val="000000"/>
          <w:sz w:val="22"/>
          <w:szCs w:val="22"/>
        </w:rPr>
      </w:pPr>
      <w:r>
        <w:rPr>
          <w:rFonts w:cs="Arial" w:ascii="Arial" w:hAnsi="Arial"/>
          <w:color w:val="000000"/>
          <w:sz w:val="22"/>
          <w:szCs w:val="22"/>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985" w:right="1134" w:gutter="0" w:header="425" w:top="1135"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Calibri">
    <w:charset w:val="00" w:characterSet="windows-1252"/>
    <w:family w:val="swiss"/>
    <w:pitch w:val="variable"/>
  </w:font>
  <w:font w:name="Segoe UI">
    <w:charset w:val="00" w:characterSet="windows-1252"/>
    <w:family w:val="swiss"/>
    <w:pitch w:val="variable"/>
  </w:font>
  <w:font w:name="Ecofont_Spranq_eco_Sans">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both"/>
      <w:rPr>
        <w:sz w:val="20"/>
        <w:szCs w:val="20"/>
      </w:rPr>
    </w:pPr>
    <w:r>
      <w:rPr>
        <w:sz w:val="20"/>
        <w:szCs w:val="20"/>
      </w:rPr>
      <w:t>Minuta padronizada PGE/RJ de edital de concorrência para obras e de prestação de serviços especiais de engenharia – versão março/2025</w:t>
    </w:r>
  </w:p>
  <w:p>
    <w:pPr>
      <w:pStyle w:val="Footer"/>
      <w:rPr>
        <w:sz w:val="20"/>
        <w:szCs w:val="20"/>
      </w:rPr>
    </w:pPr>
    <w:r>
      <w:rPr>
        <w:sz w:val="20"/>
        <w:szCs w:val="20"/>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2760" w:leader="none"/>
        <w:tab w:val="center" w:pos="4419" w:leader="none"/>
      </w:tabs>
      <w:spacing w:lineRule="atLeast" w:line="360"/>
      <w:jc w:val="center"/>
      <w:rPr>
        <w:sz w:val="21"/>
        <w:szCs w:val="20"/>
      </w:rPr>
    </w:pPr>
    <w:r>
      <w:rPr>
        <w:sz w:val="21"/>
        <w:szCs w:val="20"/>
      </w:rPr>
    </w:r>
  </w:p>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841375" cy="8108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841375" cy="81089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t-B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2360"/>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pt-BR" w:eastAsia="pt-BR" w:bidi="ar-SA"/>
      <w14:ligatures w14:val="none"/>
    </w:rPr>
  </w:style>
  <w:style w:type="paragraph" w:styleId="Heading1">
    <w:name w:val="heading 1"/>
    <w:basedOn w:val="Normal"/>
    <w:next w:val="Normal"/>
    <w:link w:val="Ttulo1Char"/>
    <w:uiPriority w:val="9"/>
    <w:qFormat/>
    <w:rsid w:val="00222360"/>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tulo2Char"/>
    <w:uiPriority w:val="9"/>
    <w:semiHidden/>
    <w:unhideWhenUsed/>
    <w:qFormat/>
    <w:rsid w:val="00222360"/>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tulo3Char"/>
    <w:uiPriority w:val="9"/>
    <w:semiHidden/>
    <w:unhideWhenUsed/>
    <w:qFormat/>
    <w:rsid w:val="00222360"/>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tulo4Char"/>
    <w:uiPriority w:val="9"/>
    <w:semiHidden/>
    <w:unhideWhenUsed/>
    <w:qFormat/>
    <w:rsid w:val="00222360"/>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tulo5Char"/>
    <w:uiPriority w:val="9"/>
    <w:semiHidden/>
    <w:unhideWhenUsed/>
    <w:qFormat/>
    <w:rsid w:val="00222360"/>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tulo6Char"/>
    <w:uiPriority w:val="9"/>
    <w:semiHidden/>
    <w:unhideWhenUsed/>
    <w:qFormat/>
    <w:rsid w:val="00222360"/>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tulo7Char"/>
    <w:uiPriority w:val="9"/>
    <w:semiHidden/>
    <w:unhideWhenUsed/>
    <w:qFormat/>
    <w:rsid w:val="00222360"/>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tulo8Char"/>
    <w:uiPriority w:val="9"/>
    <w:semiHidden/>
    <w:unhideWhenUsed/>
    <w:qFormat/>
    <w:rsid w:val="00222360"/>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tulo9Char"/>
    <w:uiPriority w:val="9"/>
    <w:semiHidden/>
    <w:unhideWhenUsed/>
    <w:qFormat/>
    <w:rsid w:val="00222360"/>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uiPriority w:val="9"/>
    <w:qFormat/>
    <w:rsid w:val="00222360"/>
    <w:rPr>
      <w:rFonts w:ascii="Aptos Display" w:hAnsi="Aptos Display" w:eastAsia="" w:cs="" w:asciiTheme="majorHAnsi" w:cstheme="majorBidi" w:eastAsiaTheme="majorEastAsia" w:hAnsiTheme="majorHAnsi"/>
      <w:color w:themeColor="accent1" w:themeShade="bf" w:val="0F4761"/>
      <w:sz w:val="40"/>
      <w:szCs w:val="40"/>
    </w:rPr>
  </w:style>
  <w:style w:type="character" w:styleId="Ttulo2Char" w:customStyle="1">
    <w:name w:val="Título 2 Char"/>
    <w:basedOn w:val="DefaultParagraphFont"/>
    <w:uiPriority w:val="9"/>
    <w:semiHidden/>
    <w:qFormat/>
    <w:rsid w:val="00222360"/>
    <w:rPr>
      <w:rFonts w:ascii="Aptos Display" w:hAnsi="Aptos Display" w:eastAsia="" w:cs="" w:asciiTheme="majorHAnsi" w:cstheme="majorBidi" w:eastAsiaTheme="majorEastAsia" w:hAnsiTheme="majorHAnsi"/>
      <w:color w:themeColor="accent1" w:themeShade="bf" w:val="0F4761"/>
      <w:sz w:val="32"/>
      <w:szCs w:val="32"/>
    </w:rPr>
  </w:style>
  <w:style w:type="character" w:styleId="Ttulo3Char" w:customStyle="1">
    <w:name w:val="Título 3 Char"/>
    <w:basedOn w:val="DefaultParagraphFont"/>
    <w:uiPriority w:val="9"/>
    <w:semiHidden/>
    <w:qFormat/>
    <w:rsid w:val="00222360"/>
    <w:rPr>
      <w:rFonts w:eastAsia="" w:cs="" w:cstheme="majorBidi" w:eastAsiaTheme="majorEastAsia"/>
      <w:color w:themeColor="accent1" w:themeShade="bf" w:val="0F4761"/>
      <w:sz w:val="28"/>
      <w:szCs w:val="28"/>
    </w:rPr>
  </w:style>
  <w:style w:type="character" w:styleId="Ttulo4Char" w:customStyle="1">
    <w:name w:val="Título 4 Char"/>
    <w:basedOn w:val="DefaultParagraphFont"/>
    <w:uiPriority w:val="9"/>
    <w:semiHidden/>
    <w:qFormat/>
    <w:rsid w:val="00222360"/>
    <w:rPr>
      <w:rFonts w:eastAsia="" w:cs="" w:cstheme="majorBidi" w:eastAsiaTheme="majorEastAsia"/>
      <w:i/>
      <w:iCs/>
      <w:color w:themeColor="accent1" w:themeShade="bf" w:val="0F4761"/>
    </w:rPr>
  </w:style>
  <w:style w:type="character" w:styleId="Ttulo5Char" w:customStyle="1">
    <w:name w:val="Título 5 Char"/>
    <w:basedOn w:val="DefaultParagraphFont"/>
    <w:uiPriority w:val="9"/>
    <w:semiHidden/>
    <w:qFormat/>
    <w:rsid w:val="00222360"/>
    <w:rPr>
      <w:rFonts w:eastAsia="" w:cs="" w:cstheme="majorBidi" w:eastAsiaTheme="majorEastAsia"/>
      <w:color w:themeColor="accent1" w:themeShade="bf" w:val="0F4761"/>
    </w:rPr>
  </w:style>
  <w:style w:type="character" w:styleId="Ttulo6Char" w:customStyle="1">
    <w:name w:val="Título 6 Char"/>
    <w:basedOn w:val="DefaultParagraphFont"/>
    <w:uiPriority w:val="9"/>
    <w:semiHidden/>
    <w:qFormat/>
    <w:rsid w:val="00222360"/>
    <w:rPr>
      <w:rFonts w:eastAsia="" w:cs="" w:cstheme="majorBidi" w:eastAsiaTheme="majorEastAsia"/>
      <w:i/>
      <w:iCs/>
      <w:color w:themeColor="text1" w:themeTint="a6" w:val="595959"/>
    </w:rPr>
  </w:style>
  <w:style w:type="character" w:styleId="Ttulo7Char" w:customStyle="1">
    <w:name w:val="Título 7 Char"/>
    <w:basedOn w:val="DefaultParagraphFont"/>
    <w:uiPriority w:val="9"/>
    <w:semiHidden/>
    <w:qFormat/>
    <w:rsid w:val="00222360"/>
    <w:rPr>
      <w:rFonts w:eastAsia="" w:cs="" w:cstheme="majorBidi" w:eastAsiaTheme="majorEastAsia"/>
      <w:color w:themeColor="text1" w:themeTint="a6" w:val="595959"/>
    </w:rPr>
  </w:style>
  <w:style w:type="character" w:styleId="Ttulo8Char" w:customStyle="1">
    <w:name w:val="Título 8 Char"/>
    <w:basedOn w:val="DefaultParagraphFont"/>
    <w:uiPriority w:val="9"/>
    <w:semiHidden/>
    <w:qFormat/>
    <w:rsid w:val="00222360"/>
    <w:rPr>
      <w:rFonts w:eastAsia="" w:cs="" w:cstheme="majorBidi" w:eastAsiaTheme="majorEastAsia"/>
      <w:i/>
      <w:iCs/>
      <w:color w:themeColor="text1" w:themeTint="d8" w:val="272727"/>
    </w:rPr>
  </w:style>
  <w:style w:type="character" w:styleId="Ttulo9Char" w:customStyle="1">
    <w:name w:val="Título 9 Char"/>
    <w:basedOn w:val="DefaultParagraphFont"/>
    <w:uiPriority w:val="9"/>
    <w:semiHidden/>
    <w:qFormat/>
    <w:rsid w:val="00222360"/>
    <w:rPr>
      <w:rFonts w:eastAsia="" w:cs="" w:cstheme="majorBidi" w:eastAsiaTheme="majorEastAsia"/>
      <w:color w:themeColor="text1" w:themeTint="d8" w:val="272727"/>
    </w:rPr>
  </w:style>
  <w:style w:type="character" w:styleId="TtuloChar" w:customStyle="1">
    <w:name w:val="Título Char"/>
    <w:basedOn w:val="DefaultParagraphFont"/>
    <w:uiPriority w:val="10"/>
    <w:qFormat/>
    <w:rsid w:val="00222360"/>
    <w:rPr>
      <w:rFonts w:ascii="Aptos Display" w:hAnsi="Aptos Display" w:eastAsia="" w:cs="" w:asciiTheme="majorHAnsi" w:cstheme="majorBidi" w:eastAsiaTheme="majorEastAsia" w:hAnsiTheme="majorHAnsi"/>
      <w:spacing w:val="-10"/>
      <w:kern w:val="2"/>
      <w:sz w:val="56"/>
      <w:szCs w:val="56"/>
    </w:rPr>
  </w:style>
  <w:style w:type="character" w:styleId="SubttuloChar" w:customStyle="1">
    <w:name w:val="Subtítulo Char"/>
    <w:basedOn w:val="DefaultParagraphFont"/>
    <w:uiPriority w:val="11"/>
    <w:qFormat/>
    <w:rsid w:val="00222360"/>
    <w:rPr>
      <w:rFonts w:eastAsia="" w:cs="" w:cstheme="majorBidi" w:eastAsiaTheme="majorEastAsia"/>
      <w:color w:themeColor="text1" w:themeTint="a6" w:val="595959"/>
      <w:spacing w:val="15"/>
      <w:sz w:val="28"/>
      <w:szCs w:val="28"/>
    </w:rPr>
  </w:style>
  <w:style w:type="character" w:styleId="CitaoChar" w:customStyle="1">
    <w:name w:val="Citação Char"/>
    <w:basedOn w:val="DefaultParagraphFont"/>
    <w:link w:val="Quote"/>
    <w:uiPriority w:val="29"/>
    <w:qFormat/>
    <w:rsid w:val="00222360"/>
    <w:rPr>
      <w:i/>
      <w:iCs/>
      <w:color w:themeColor="text1" w:themeTint="bf" w:val="404040"/>
    </w:rPr>
  </w:style>
  <w:style w:type="character" w:styleId="IntenseEmphasis">
    <w:name w:val="Intense Emphasis"/>
    <w:basedOn w:val="DefaultParagraphFont"/>
    <w:uiPriority w:val="21"/>
    <w:qFormat/>
    <w:rsid w:val="00222360"/>
    <w:rPr>
      <w:i/>
      <w:iCs/>
      <w:color w:themeColor="accent1" w:themeShade="bf" w:val="0F4761"/>
    </w:rPr>
  </w:style>
  <w:style w:type="character" w:styleId="CitaoIntensaChar" w:customStyle="1">
    <w:name w:val="Citação Intensa Char"/>
    <w:basedOn w:val="DefaultParagraphFont"/>
    <w:link w:val="IntenseQuote"/>
    <w:uiPriority w:val="30"/>
    <w:qFormat/>
    <w:rsid w:val="00222360"/>
    <w:rPr>
      <w:i/>
      <w:iCs/>
      <w:color w:themeColor="accent1" w:themeShade="bf" w:val="0F4761"/>
    </w:rPr>
  </w:style>
  <w:style w:type="character" w:styleId="IntenseReference">
    <w:name w:val="Intense Reference"/>
    <w:basedOn w:val="DefaultParagraphFont"/>
    <w:uiPriority w:val="32"/>
    <w:qFormat/>
    <w:rsid w:val="00222360"/>
    <w:rPr>
      <w:b/>
      <w:bCs/>
      <w:smallCaps/>
      <w:color w:themeColor="accent1" w:themeShade="bf" w:val="0F4761"/>
      <w:spacing w:val="5"/>
    </w:rPr>
  </w:style>
  <w:style w:type="character" w:styleId="CabealhoChar" w:customStyle="1">
    <w:name w:val="Cabeçalho Char"/>
    <w:basedOn w:val="DefaultParagraphFont"/>
    <w:uiPriority w:val="99"/>
    <w:qFormat/>
    <w:rsid w:val="00222360"/>
    <w:rPr>
      <w:rFonts w:ascii="Times New Roman" w:hAnsi="Times New Roman" w:eastAsia="Times New Roman" w:cs="Times New Roman"/>
      <w:kern w:val="0"/>
      <w:lang w:eastAsia="pt-BR"/>
      <w14:ligatures w14:val="none"/>
    </w:rPr>
  </w:style>
  <w:style w:type="character" w:styleId="RodapChar" w:customStyle="1">
    <w:name w:val="Rodapé Char"/>
    <w:basedOn w:val="DefaultParagraphFont"/>
    <w:uiPriority w:val="99"/>
    <w:qFormat/>
    <w:rsid w:val="00222360"/>
    <w:rPr>
      <w:rFonts w:ascii="Times New Roman" w:hAnsi="Times New Roman" w:eastAsia="Times New Roman" w:cs="Times New Roman"/>
      <w:kern w:val="0"/>
      <w:lang w:eastAsia="pt-BR"/>
      <w14:ligatures w14:val="none"/>
    </w:rPr>
  </w:style>
  <w:style w:type="character" w:styleId="Recuodecorpodetexto3Char" w:customStyle="1">
    <w:name w:val="Recuo de corpo de texto 3 Char"/>
    <w:basedOn w:val="DefaultParagraphFont"/>
    <w:link w:val="BodyTextIndent3"/>
    <w:qFormat/>
    <w:rsid w:val="00222360"/>
    <w:rPr>
      <w:rFonts w:ascii="Arial" w:hAnsi="Arial" w:eastAsia="Times New Roman" w:cs="Times New Roman"/>
      <w:kern w:val="0"/>
      <w:szCs w:val="20"/>
      <w:lang w:eastAsia="pt-BR"/>
      <w14:ligatures w14:val="none"/>
    </w:rPr>
  </w:style>
  <w:style w:type="character" w:styleId="Hyperlink">
    <w:name w:val="Hyperlink"/>
    <w:uiPriority w:val="99"/>
    <w:unhideWhenUsed/>
    <w:rsid w:val="00222360"/>
    <w:rPr>
      <w:color w:val="0000FF"/>
      <w:u w:val="single"/>
    </w:rPr>
  </w:style>
  <w:style w:type="character" w:styleId="DefaultChar" w:customStyle="1">
    <w:name w:val="Default Char"/>
    <w:link w:val="Default"/>
    <w:qFormat/>
    <w:rsid w:val="00222360"/>
    <w:rPr>
      <w:rFonts w:ascii="Calibri" w:hAnsi="Calibri" w:eastAsia="Times New Roman" w:cs="Calibri"/>
      <w:color w:val="000000"/>
      <w:kern w:val="0"/>
      <w:lang w:eastAsia="pt-BR"/>
      <w14:ligatures w14:val="none"/>
    </w:rPr>
  </w:style>
  <w:style w:type="character" w:styleId="RecuodecorpodetextoChar" w:customStyle="1">
    <w:name w:val="Recuo de corpo de texto Char"/>
    <w:basedOn w:val="DefaultParagraphFont"/>
    <w:qFormat/>
    <w:rsid w:val="00222360"/>
    <w:rPr>
      <w:rFonts w:ascii="Times New Roman" w:hAnsi="Times New Roman" w:eastAsia="Times New Roman" w:cs="Times New Roman"/>
      <w:kern w:val="0"/>
      <w:lang w:eastAsia="pt-BR"/>
      <w14:ligatures w14:val="none"/>
    </w:rPr>
  </w:style>
  <w:style w:type="character" w:styleId="PargrafodaListaChar" w:customStyle="1">
    <w:name w:val="Parágrafo da Lista Char"/>
    <w:link w:val="ListParagraph"/>
    <w:uiPriority w:val="34"/>
    <w:qFormat/>
    <w:rsid w:val="00222360"/>
    <w:rPr/>
  </w:style>
  <w:style w:type="character" w:styleId="UnresolvedMention">
    <w:name w:val="Unresolved Mention"/>
    <w:qFormat/>
    <w:rPr>
      <w:color w:val="605E5C"/>
      <w:shd w:fill="E1DFDD" w:val="clear"/>
    </w:rPr>
  </w:style>
  <w:style w:type="character" w:styleId="cf11">
    <w:name w:val="cf11"/>
    <w:qFormat/>
    <w:rPr>
      <w:rFonts w:ascii="Segoe UI" w:hAnsi="Segoe UI" w:cs="Segoe UI"/>
      <w:i/>
      <w:iCs/>
      <w:sz w:val="18"/>
      <w:szCs w:val="18"/>
    </w:rPr>
  </w:style>
  <w:style w:type="character" w:styleId="AssuntodocomentrioChar">
    <w:name w:val="Assunto do comentário Char"/>
    <w:qFormat/>
    <w:rPr>
      <w:rFonts w:ascii="Ecofont_Spranq_eco_Sans" w:hAnsi="Ecofont_Spranq_eco_Sans" w:eastAsia="MS Mincho" w:cs="Tahoma"/>
      <w:b/>
      <w:bCs/>
    </w:rPr>
  </w:style>
  <w:style w:type="character" w:styleId="TextodecomentrioChar">
    <w:name w:val="Texto de comentário Char"/>
    <w:qFormat/>
    <w:rPr>
      <w:rFonts w:ascii="Ecofont_Spranq_eco_Sans" w:hAnsi="Ecofont_Spranq_eco_Sans" w:eastAsia="MS Mincho" w:cs="Tahoma"/>
    </w:rPr>
  </w:style>
  <w:style w:type="character" w:styleId="CommentReference">
    <w:name w:val="annotation reference"/>
    <w:qFormat/>
    <w:rPr>
      <w:sz w:val="16"/>
      <w:szCs w:val="16"/>
    </w:rPr>
  </w:style>
  <w:style w:type="character" w:styleId="Nivel4Char">
    <w:name w:val="Nivel 4 Char"/>
    <w:qFormat/>
    <w:rPr>
      <w:rFonts w:ascii="Arial" w:hAnsi="Arial" w:eastAsia="MS Mincho" w:cs="Arial"/>
    </w:rPr>
  </w:style>
  <w:style w:type="character" w:styleId="cf01">
    <w:name w:val="cf01"/>
    <w:qFormat/>
    <w:rPr>
      <w:rFonts w:ascii="Segoe UI" w:hAnsi="Segoe UI" w:cs="Segoe UI"/>
      <w:sz w:val="18"/>
      <w:szCs w:val="18"/>
    </w:rPr>
  </w:style>
  <w:style w:type="character" w:styleId="Nivel01TituloChar">
    <w:name w:val="Nivel_01_Titulo Char"/>
    <w:qFormat/>
    <w:rPr>
      <w:rFonts w:ascii="Arial" w:hAnsi="Arial" w:eastAsia="Times New Roman"/>
      <w:b/>
      <w:bCs/>
      <w:color w:val="2F5496"/>
    </w:rPr>
  </w:style>
  <w:style w:type="character" w:styleId="normaltextrun">
    <w:name w:val="normaltextrun"/>
    <w:basedOn w:val="DefaultParagraphFont"/>
    <w:qFormat/>
    <w:rPr/>
  </w:style>
  <w:style w:type="character" w:styleId="Nivel3-erroChar">
    <w:name w:val="Nivel 3-erro Char"/>
    <w:qFormat/>
    <w:rPr>
      <w:rFonts w:ascii="Arial" w:hAnsi="Arial" w:cs="Tahoma"/>
      <w:szCs w:val="24"/>
    </w:rPr>
  </w:style>
  <w:style w:type="character" w:styleId="CorpodetextoChar">
    <w:name w:val="Corpo de texto Char"/>
    <w:qFormat/>
    <w:rPr>
      <w:rFonts w:ascii="Calibri" w:hAnsi="Calibri" w:eastAsia="Calibri"/>
      <w:sz w:val="22"/>
      <w:szCs w:val="22"/>
      <w:lang w:eastAsia="en-US"/>
    </w:rPr>
  </w:style>
  <w:style w:type="character" w:styleId="Nvel2-RedChar">
    <w:name w:val="Nível 2 -Red Char"/>
    <w:qFormat/>
    <w:rPr>
      <w:rFonts w:ascii="Arial" w:hAnsi="Arial" w:cs="Arial"/>
      <w:i/>
      <w:iCs/>
      <w:color w:val="FF0000"/>
    </w:rPr>
  </w:style>
  <w:style w:type="character" w:styleId="ouChar">
    <w:name w:val="ou Char"/>
    <w:qFormat/>
    <w:rPr>
      <w:rFonts w:ascii="Arial" w:hAnsi="Arial" w:eastAsia="Calibri" w:cs="Arial"/>
      <w:b/>
      <w:bCs/>
      <w:i/>
      <w:iCs/>
      <w:color w:val="FF0000"/>
      <w:sz w:val="24"/>
      <w:szCs w:val="24"/>
      <w:u w:val="single"/>
    </w:rPr>
  </w:style>
  <w:style w:type="character" w:styleId="Nvel3-RChar">
    <w:name w:val="Nível 3-R Char"/>
    <w:qFormat/>
    <w:rPr>
      <w:rFonts w:ascii="Arial" w:hAnsi="Arial" w:cs="Arial"/>
      <w:i/>
      <w:iCs/>
      <w:color w:val="FF0000"/>
    </w:rPr>
  </w:style>
  <w:style w:type="character" w:styleId="Nivel01Char">
    <w:name w:val="Nivel 01 Char"/>
    <w:qFormat/>
    <w:rPr>
      <w:rFonts w:ascii="Arial" w:hAnsi="Arial" w:eastAsia="Times New Roman" w:cs="Arial"/>
      <w:b/>
      <w:bCs/>
    </w:rPr>
  </w:style>
  <w:style w:type="character" w:styleId="Nivel3Char">
    <w:name w:val="Nivel 3 Char"/>
    <w:qFormat/>
    <w:rPr>
      <w:rFonts w:ascii="Arial" w:hAnsi="Arial" w:cs="Arial"/>
      <w:color w:val="000000"/>
    </w:rPr>
  </w:style>
  <w:style w:type="character" w:styleId="Nivel2Char">
    <w:name w:val="Nivel 2 Char"/>
    <w:qFormat/>
    <w:rPr>
      <w:rFonts w:ascii="Arial" w:hAnsi="Arial" w:cs="Arial"/>
      <w:color w:val="000000"/>
    </w:rPr>
  </w:style>
  <w:style w:type="character" w:styleId="CharacterStyle2">
    <w:name w:val="Character Style 2"/>
    <w:qFormat/>
    <w:rPr>
      <w:sz w:val="20"/>
      <w:szCs w:val="20"/>
    </w:rPr>
  </w:style>
  <w:style w:type="character" w:styleId="CharacterStyle1">
    <w:name w:val="Character Style 1"/>
    <w:qFormat/>
    <w:rPr>
      <w:sz w:val="19"/>
      <w:szCs w:val="19"/>
    </w:rPr>
  </w:style>
  <w:style w:type="character" w:styleId="Emphasis">
    <w:name w:val="Emphasis"/>
    <w:qFormat/>
    <w:rPr>
      <w:i/>
      <w:iCs/>
    </w:rPr>
  </w:style>
  <w:style w:type="character" w:styleId="corpojustificado">
    <w:name w:val="corpojustificado"/>
    <w:qFormat/>
    <w:rPr/>
  </w:style>
  <w:style w:type="character" w:styleId="titulo">
    <w:name w:val="titulo"/>
    <w:qFormat/>
    <w:rPr/>
  </w:style>
  <w:style w:type="character" w:styleId="TextodebaloChar">
    <w:name w:val="Texto de balão Char"/>
    <w:qFormat/>
    <w:rPr>
      <w:rFonts w:ascii="Tahoma" w:hAnsi="Tahoma" w:cs="Tahoma"/>
      <w:sz w:val="16"/>
      <w:szCs w:val="16"/>
    </w:rPr>
  </w:style>
  <w:style w:type="character" w:styleId="Strong">
    <w:name w:val="Strong"/>
    <w:qFormat/>
    <w:rPr>
      <w:b/>
      <w:bCs/>
      <w:i w:val="false"/>
      <w:iCs w:val="false"/>
    </w:rPr>
  </w:style>
  <w:style w:type="character" w:styleId="apple-converted-space">
    <w:name w:val="apple-converted-space"/>
    <w:qFormat/>
    <w:rPr/>
  </w:style>
  <w:style w:type="character" w:styleId="Recuodecorpodetexto2Char">
    <w:name w:val="Recuo de corpo de texto 2 Char"/>
    <w:qFormat/>
    <w:rPr>
      <w:sz w:val="24"/>
      <w:szCs w:val="24"/>
    </w:rPr>
  </w:style>
  <w:style w:type="character" w:styleId="FootnoteReference">
    <w:name w:val="footnote reference"/>
    <w:rPr>
      <w:vertAlign w:val="superscript"/>
    </w:rPr>
  </w:style>
  <w:style w:type="character" w:styleId="Caracteresdenotaderodap">
    <w:name w:val="Caracteres de nota de rodapé"/>
    <w:qFormat/>
    <w:rPr>
      <w:vertAlign w:val="superscript"/>
    </w:rPr>
  </w:style>
  <w:style w:type="character" w:styleId="Caracteresdenotaderodapuser">
    <w:name w:val="Caracteres de nota de rodapé (user)"/>
    <w:qFormat/>
    <w:rPr>
      <w:vertAlign w:val="superscript"/>
    </w:rPr>
  </w:style>
  <w:style w:type="character" w:styleId="TextodenotaderodapChar">
    <w:name w:val="Texto de nota de rodapé Char"/>
    <w:basedOn w:val="DefaultParagraphFont"/>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Title">
    <w:name w:val="Title"/>
    <w:basedOn w:val="Normal"/>
    <w:next w:val="Normal"/>
    <w:link w:val="TtuloChar"/>
    <w:uiPriority w:val="10"/>
    <w:qFormat/>
    <w:rsid w:val="00222360"/>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tuloChar"/>
    <w:uiPriority w:val="11"/>
    <w:qFormat/>
    <w:rsid w:val="002223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oChar"/>
    <w:uiPriority w:val="29"/>
    <w:qFormat/>
    <w:rsid w:val="00222360"/>
    <w:pPr>
      <w:spacing w:before="160" w:after="0"/>
      <w:jc w:val="center"/>
    </w:pPr>
    <w:rPr>
      <w:i/>
      <w:iCs/>
      <w:color w:themeColor="text1" w:themeTint="bf" w:val="404040"/>
    </w:rPr>
  </w:style>
  <w:style w:type="paragraph" w:styleId="ListParagraph">
    <w:name w:val="List Paragraph"/>
    <w:basedOn w:val="Normal"/>
    <w:link w:val="PargrafodaListaChar"/>
    <w:uiPriority w:val="34"/>
    <w:qFormat/>
    <w:rsid w:val="00222360"/>
    <w:pPr>
      <w:spacing w:before="0" w:after="0"/>
      <w:ind w:start="720"/>
      <w:contextualSpacing/>
    </w:pPr>
    <w:rPr/>
  </w:style>
  <w:style w:type="paragraph" w:styleId="IntenseQuote">
    <w:name w:val="Intense Quote"/>
    <w:basedOn w:val="Normal"/>
    <w:next w:val="Normal"/>
    <w:link w:val="CitaoIntensaChar"/>
    <w:uiPriority w:val="30"/>
    <w:qFormat/>
    <w:rsid w:val="00222360"/>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Normal"/>
    <w:link w:val="CabealhoChar"/>
    <w:uiPriority w:val="99"/>
    <w:rsid w:val="00222360"/>
    <w:pPr>
      <w:tabs>
        <w:tab w:val="clear" w:pos="708"/>
        <w:tab w:val="center" w:pos="4252" w:leader="none"/>
        <w:tab w:val="right" w:pos="8504" w:leader="none"/>
      </w:tabs>
    </w:pPr>
    <w:rPr/>
  </w:style>
  <w:style w:type="paragraph" w:styleId="Footer">
    <w:name w:val="footer"/>
    <w:basedOn w:val="Normal"/>
    <w:link w:val="RodapChar"/>
    <w:uiPriority w:val="99"/>
    <w:rsid w:val="00222360"/>
    <w:pPr>
      <w:tabs>
        <w:tab w:val="clear" w:pos="708"/>
        <w:tab w:val="center" w:pos="4252" w:leader="none"/>
        <w:tab w:val="right" w:pos="8504" w:leader="none"/>
      </w:tabs>
    </w:pPr>
    <w:rPr/>
  </w:style>
  <w:style w:type="paragraph" w:styleId="BodyTextIndent3">
    <w:name w:val="Body Text Indent 3"/>
    <w:basedOn w:val="Normal"/>
    <w:link w:val="Recuodecorpodetexto3Char"/>
    <w:qFormat/>
    <w:rsid w:val="00222360"/>
    <w:pPr>
      <w:spacing w:lineRule="auto" w:line="360"/>
      <w:ind w:firstLine="2552"/>
      <w:jc w:val="both"/>
    </w:pPr>
    <w:rPr>
      <w:rFonts w:ascii="Arial" w:hAnsi="Arial"/>
      <w:szCs w:val="20"/>
    </w:rPr>
  </w:style>
  <w:style w:type="paragraph" w:styleId="Default" w:customStyle="1">
    <w:name w:val="Default"/>
    <w:link w:val="DefaultChar"/>
    <w:qFormat/>
    <w:rsid w:val="00222360"/>
    <w:pPr>
      <w:widowControl/>
      <w:suppressAutoHyphens w:val="true"/>
      <w:bidi w:val="0"/>
      <w:spacing w:lineRule="auto" w:line="240" w:before="0" w:after="0"/>
      <w:jc w:val="start"/>
    </w:pPr>
    <w:rPr>
      <w:rFonts w:ascii="Calibri" w:hAnsi="Calibri" w:eastAsia="Times New Roman" w:cs="Calibri"/>
      <w:color w:val="000000"/>
      <w:kern w:val="0"/>
      <w:sz w:val="24"/>
      <w:szCs w:val="24"/>
      <w:lang w:val="pt-BR" w:eastAsia="pt-BR" w:bidi="ar-SA"/>
      <w14:ligatures w14:val="none"/>
    </w:rPr>
  </w:style>
  <w:style w:type="paragraph" w:styleId="pf0" w:customStyle="1">
    <w:name w:val="pf0"/>
    <w:basedOn w:val="Normal"/>
    <w:qFormat/>
    <w:rsid w:val="00222360"/>
    <w:pPr>
      <w:spacing w:beforeAutospacing="1" w:afterAutospacing="1"/>
    </w:pPr>
    <w:rPr/>
  </w:style>
  <w:style w:type="paragraph" w:styleId="BodyTextIndent">
    <w:name w:val="Body Text Indent"/>
    <w:basedOn w:val="Normal"/>
    <w:link w:val="RecuodecorpodetextoChar"/>
    <w:rsid w:val="00222360"/>
    <w:pPr>
      <w:spacing w:before="0" w:after="120"/>
      <w:ind w:start="283"/>
    </w:pPr>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4"/>
      <w:szCs w:val="24"/>
      <w:lang w:val="pt-BR" w:eastAsia="pt-BR" w:bidi="ar-SA"/>
      <w14:ligatures w14:val="standardContextual"/>
    </w:rPr>
  </w:style>
  <w:style w:type="paragraph" w:styleId="PADRO">
    <w:name w:val="PADRÃO"/>
    <w:qFormat/>
    <w:pPr>
      <w:keepNext w:val="true"/>
      <w:widowControl w:val="false"/>
      <w:shd w:fill="FFFFFF" w:val="clear"/>
      <w:suppressAutoHyphens w:val="true"/>
      <w:bidi w:val="0"/>
      <w:spacing w:lineRule="auto" w:line="276" w:before="119" w:after="119"/>
      <w:ind w:firstLine="567"/>
      <w:jc w:val="both"/>
      <w:textAlignment w:val="baseline"/>
    </w:pPr>
    <w:rPr>
      <w:rFonts w:ascii="Ecofont_Spranq_eco_Sans" w:hAnsi="Ecofont_Spranq_eco_Sans" w:eastAsia="WenQuanYi Micro Hei" w:cs="Lohit Hindi"/>
      <w:color w:val="auto"/>
      <w:kern w:val="0"/>
      <w:sz w:val="20"/>
      <w:szCs w:val="24"/>
      <w:lang w:val="pt-BR" w:eastAsia="zh-CN" w:bidi="hi-IN"/>
      <w14:ligatures w14:val="standardContextual"/>
    </w:rPr>
  </w:style>
  <w:style w:type="paragraph" w:styleId="Nivel1">
    <w:name w:val="Nivel 1"/>
    <w:basedOn w:val="Nivel2"/>
    <w:next w:val="Nivel2"/>
    <w:qFormat/>
    <w:pPr>
      <w:tabs>
        <w:tab w:val="clear" w:pos="708"/>
        <w:tab w:val="left" w:pos="360" w:leader="none"/>
      </w:tabs>
      <w:ind w:start="858"/>
    </w:pPr>
    <w:rPr>
      <w:rFonts w:ascii="Ecofont_Spranq_eco_Sans" w:hAnsi="Ecofont_Spranq_eco_Sans" w:eastAsia="Arial Unicode MS"/>
      <w:b/>
      <w:color w:val="auto"/>
    </w:rPr>
  </w:style>
  <w:style w:type="paragraph" w:styleId="annotationsubject">
    <w:name w:val="annotation subject"/>
    <w:basedOn w:val="CommentText"/>
    <w:next w:val="CommentText"/>
    <w:qFormat/>
    <w:pPr/>
    <w:rPr>
      <w:rFonts w:ascii="Times New Roman" w:hAnsi="Times New Roman" w:eastAsia="Times New Roman" w:cs="Times New Roman"/>
      <w:b/>
      <w:bCs/>
    </w:rPr>
  </w:style>
  <w:style w:type="paragraph" w:styleId="CommentText">
    <w:name w:val="annotation text"/>
    <w:basedOn w:val="Normal"/>
    <w:pPr/>
    <w:rPr>
      <w:rFonts w:ascii="Ecofont_Spranq_eco_Sans" w:hAnsi="Ecofont_Spranq_eco_Sans" w:eastAsia="MS Mincho" w:cs="Tahoma"/>
      <w:sz w:val="20"/>
      <w:szCs w:val="20"/>
    </w:rPr>
  </w:style>
  <w:style w:type="paragraph" w:styleId="Nivel5">
    <w:name w:val="Nivel 5"/>
    <w:basedOn w:val="Nivel4"/>
    <w:qFormat/>
    <w:pPr>
      <w:ind w:start="1276"/>
    </w:pPr>
    <w:rPr/>
  </w:style>
  <w:style w:type="paragraph" w:styleId="Nivel4">
    <w:name w:val="Nivel 4"/>
    <w:basedOn w:val="Nivel3"/>
    <w:qFormat/>
    <w:pPr>
      <w:ind w:hanging="0" w:start="851"/>
    </w:pPr>
    <w:rPr>
      <w:rFonts w:eastAsia="MS Mincho"/>
      <w:color w:val="auto"/>
    </w:rPr>
  </w:style>
  <w:style w:type="paragraph" w:styleId="Nivel3-erro">
    <w:name w:val="Nivel 3-erro"/>
    <w:basedOn w:val="Nivel3"/>
    <w:qFormat/>
    <w:pPr>
      <w:spacing w:lineRule="auto" w:line="240"/>
      <w:ind w:hanging="504" w:start="425"/>
    </w:pPr>
    <w:rPr>
      <w:rFonts w:cs="Tahoma"/>
      <w:color w:val="auto"/>
      <w:szCs w:val="24"/>
    </w:rPr>
  </w:style>
  <w:style w:type="paragraph" w:styleId="ou">
    <w:name w:val="ou"/>
    <w:basedOn w:val="ListParagraph"/>
    <w:qFormat/>
    <w:pPr>
      <w:spacing w:lineRule="auto" w:line="259" w:before="60" w:after="60"/>
      <w:ind w:start="0"/>
      <w:contextualSpacing w:val="false"/>
      <w:jc w:val="center"/>
    </w:pPr>
    <w:rPr>
      <w:rFonts w:ascii="Arial" w:hAnsi="Arial" w:eastAsia="Calibri" w:cs="Arial"/>
      <w:b/>
      <w:bCs/>
      <w:i/>
      <w:iCs/>
      <w:color w:val="FF0000"/>
      <w:u w:val="single"/>
    </w:rPr>
  </w:style>
  <w:style w:type="paragraph" w:styleId="Nvel4-R">
    <w:name w:val="Nível 4-R"/>
    <w:basedOn w:val="Normal"/>
    <w:qFormat/>
    <w:pPr>
      <w:numPr>
        <w:ilvl w:val="3"/>
        <w:numId w:val="1"/>
      </w:numPr>
      <w:spacing w:lineRule="auto" w:line="276" w:before="120" w:after="120"/>
      <w:ind w:hanging="648" w:start="2491"/>
      <w:jc w:val="both"/>
    </w:pPr>
    <w:rPr>
      <w:rFonts w:ascii="Arial" w:hAnsi="Arial" w:cs="Arial"/>
      <w:i/>
      <w:iCs/>
      <w:color w:val="FF0000"/>
      <w:sz w:val="20"/>
      <w:szCs w:val="20"/>
    </w:rPr>
  </w:style>
  <w:style w:type="paragraph" w:styleId="Nvel3-R">
    <w:name w:val="Nível 3-R"/>
    <w:basedOn w:val="Nivel3"/>
    <w:qFormat/>
    <w:pPr>
      <w:numPr>
        <w:ilvl w:val="2"/>
        <w:numId w:val="1"/>
      </w:numPr>
    </w:pPr>
    <w:rPr>
      <w:i/>
      <w:iCs/>
      <w:color w:val="FF0000"/>
    </w:rPr>
  </w:style>
  <w:style w:type="paragraph" w:styleId="Nvel2-Red">
    <w:name w:val="Nível 2 -Red"/>
    <w:basedOn w:val="Nivel2"/>
    <w:qFormat/>
    <w:pPr>
      <w:numPr>
        <w:ilvl w:val="1"/>
        <w:numId w:val="1"/>
      </w:numPr>
      <w:ind w:hanging="360" w:start="4969"/>
    </w:pPr>
    <w:rPr>
      <w:i/>
      <w:iCs/>
      <w:color w:val="FF0000"/>
    </w:rPr>
  </w:style>
  <w:style w:type="paragraph" w:styleId="Nivel11">
    <w:name w:val="Nivel1"/>
    <w:basedOn w:val="Heading1"/>
    <w:next w:val="Normal"/>
    <w:qFormat/>
    <w:pPr>
      <w:keepLines/>
      <w:numPr>
        <w:ilvl w:val="0"/>
        <w:numId w:val="2"/>
      </w:numPr>
      <w:spacing w:lineRule="auto" w:line="276" w:before="480" w:after="120"/>
      <w:ind w:start="1859"/>
      <w:jc w:val="both"/>
    </w:pPr>
    <w:rPr>
      <w:rFonts w:ascii="Arial" w:hAnsi="Arial" w:cs="Arial"/>
      <w:bCs w:val="false"/>
      <w:color w:val="000000"/>
      <w:kern w:val="0"/>
      <w:lang w:eastAsia="en-US"/>
    </w:rPr>
  </w:style>
  <w:style w:type="paragraph" w:styleId="Nivel01Titulo">
    <w:name w:val="Nivel_01_Titulo"/>
    <w:basedOn w:val="Heading1"/>
    <w:next w:val="Normal"/>
    <w:qFormat/>
    <w:pPr>
      <w:keepLines/>
      <w:numPr>
        <w:ilvl w:val="0"/>
        <w:numId w:val="1"/>
      </w:numPr>
      <w:tabs>
        <w:tab w:val="clear" w:pos="708"/>
        <w:tab w:val="left" w:pos="567" w:leader="none"/>
      </w:tabs>
      <w:spacing w:before="240" w:after="0"/>
      <w:ind w:hanging="990" w:start="360"/>
      <w:jc w:val="both"/>
    </w:pPr>
    <w:rPr>
      <w:rFonts w:ascii="Arial" w:hAnsi="Arial"/>
      <w:color w:val="2F5496"/>
      <w:kern w:val="0"/>
      <w:sz w:val="20"/>
      <w:szCs w:val="20"/>
    </w:rPr>
  </w:style>
  <w:style w:type="paragraph" w:styleId="Nivel3">
    <w:name w:val="Nivel 3"/>
    <w:basedOn w:val="Normal"/>
    <w:qFormat/>
    <w:pPr>
      <w:spacing w:lineRule="auto" w:line="276" w:before="120" w:after="120"/>
      <w:ind w:hanging="504" w:start="3198"/>
      <w:jc w:val="both"/>
    </w:pPr>
    <w:rPr>
      <w:rFonts w:ascii="Arial" w:hAnsi="Arial" w:cs="Arial"/>
      <w:color w:val="000000"/>
      <w:sz w:val="20"/>
      <w:szCs w:val="20"/>
    </w:rPr>
  </w:style>
  <w:style w:type="paragraph" w:styleId="Nivel01">
    <w:name w:val="Nivel 01"/>
    <w:basedOn w:val="Heading1"/>
    <w:next w:val="Normal"/>
    <w:qFormat/>
    <w:pPr>
      <w:keepLines/>
      <w:tabs>
        <w:tab w:val="clear" w:pos="708"/>
        <w:tab w:val="left" w:pos="567" w:leader="none"/>
      </w:tabs>
      <w:spacing w:before="240" w:after="0"/>
      <w:ind w:hanging="360" w:start="360"/>
      <w:jc w:val="both"/>
    </w:pPr>
    <w:rPr>
      <w:rFonts w:ascii="Arial" w:hAnsi="Arial" w:cs="Arial"/>
      <w:kern w:val="0"/>
      <w:sz w:val="20"/>
      <w:szCs w:val="20"/>
    </w:rPr>
  </w:style>
  <w:style w:type="paragraph" w:styleId="Nivel2">
    <w:name w:val="Nivel 2"/>
    <w:basedOn w:val="Normal"/>
    <w:qFormat/>
    <w:pPr>
      <w:spacing w:lineRule="auto" w:line="276" w:before="120" w:after="120"/>
      <w:ind w:hanging="432" w:start="4969"/>
      <w:jc w:val="both"/>
    </w:pPr>
    <w:rPr>
      <w:rFonts w:ascii="Arial" w:hAnsi="Arial" w:cs="Arial"/>
      <w:color w:val="000000"/>
      <w:sz w:val="20"/>
      <w:szCs w:val="20"/>
    </w:rPr>
  </w:style>
  <w:style w:type="paragraph" w:styleId="citacao">
    <w:name w:val="citacao"/>
    <w:basedOn w:val="Normal"/>
    <w:qFormat/>
    <w:pPr>
      <w:spacing w:before="280" w:after="280"/>
    </w:pPr>
    <w:rPr/>
  </w:style>
  <w:style w:type="paragraph" w:styleId="textojustificadorecuoprimeiralinha">
    <w:name w:val="texto_justificado_recuo_primeira_linha"/>
    <w:basedOn w:val="Normal"/>
    <w:qFormat/>
    <w:pPr>
      <w:spacing w:before="280" w:after="280"/>
    </w:pPr>
    <w:rPr/>
  </w:style>
  <w:style w:type="paragraph" w:styleId="tcu-centralizado">
    <w:name w:val="tcu_-_centralizado"/>
    <w:basedOn w:val="Normal"/>
    <w:qFormat/>
    <w:pPr>
      <w:spacing w:before="280" w:after="280"/>
    </w:pPr>
    <w:rPr/>
  </w:style>
  <w:style w:type="paragraph" w:styleId="tcu-relvoto-demais">
    <w:name w:val="tcu_-_rel/voto_-_demais_§§"/>
    <w:basedOn w:val="Normal"/>
    <w:qFormat/>
    <w:pPr>
      <w:spacing w:before="280" w:after="280"/>
    </w:pPr>
    <w:rPr/>
  </w:style>
  <w:style w:type="paragraph" w:styleId="tcu-transcrio">
    <w:name w:val="tcu_-_transcrição"/>
    <w:basedOn w:val="Normal"/>
    <w:qFormat/>
    <w:pPr>
      <w:spacing w:before="280" w:after="280"/>
    </w:pPr>
    <w:rPr/>
  </w:style>
  <w:style w:type="paragraph" w:styleId="textbody">
    <w:name w:val="textbody"/>
    <w:basedOn w:val="Normal"/>
    <w:qFormat/>
    <w:pPr>
      <w:spacing w:before="280" w:after="280"/>
    </w:pPr>
    <w:rPr/>
  </w:style>
  <w:style w:type="paragraph" w:styleId="Style31">
    <w:name w:val="Style 3"/>
    <w:basedOn w:val="Normal"/>
    <w:qFormat/>
    <w:pPr>
      <w:widowControl w:val="false"/>
      <w:spacing w:lineRule="auto" w:line="360" w:before="324" w:after="0"/>
      <w:ind w:end="144"/>
      <w:jc w:val="both"/>
    </w:pPr>
    <w:rPr>
      <w:rFonts w:ascii="Arial" w:hAnsi="Arial" w:cs="Arial"/>
      <w:sz w:val="23"/>
      <w:szCs w:val="23"/>
    </w:rPr>
  </w:style>
  <w:style w:type="paragraph" w:styleId="Style21">
    <w:name w:val="Style 2"/>
    <w:basedOn w:val="Normal"/>
    <w:qFormat/>
    <w:pPr>
      <w:widowControl w:val="false"/>
      <w:ind w:firstLine="288"/>
      <w:jc w:val="both"/>
    </w:pPr>
    <w:rPr>
      <w:sz w:val="19"/>
      <w:szCs w:val="19"/>
    </w:rPr>
  </w:style>
  <w:style w:type="paragraph" w:styleId="04partenormativa">
    <w:name w:val="04partenormativa"/>
    <w:basedOn w:val="Normal"/>
    <w:qFormat/>
    <w:pPr>
      <w:spacing w:before="280" w:after="280"/>
    </w:pPr>
    <w:rPr/>
  </w:style>
  <w:style w:type="paragraph" w:styleId="corpodetexto">
    <w:name w:val="corpo de texto"/>
    <w:basedOn w:val="BodyTextIndent3"/>
    <w:qFormat/>
    <w:pPr>
      <w:spacing w:lineRule="auto" w:line="240"/>
      <w:ind w:firstLine="1134"/>
    </w:pPr>
    <w:rPr>
      <w:rFonts w:ascii="Times New Roman" w:hAnsi="Times New Roman"/>
    </w:rPr>
  </w:style>
  <w:style w:type="paragraph" w:styleId="TCU-RelVoto-demais1">
    <w:name w:val="TCU - Rel/Voto - demais §§"/>
    <w:basedOn w:val="Normal"/>
    <w:qFormat/>
    <w:pPr>
      <w:tabs>
        <w:tab w:val="clear" w:pos="708"/>
        <w:tab w:val="left" w:pos="1134" w:leader="none"/>
      </w:tabs>
      <w:spacing w:before="0" w:after="160"/>
      <w:jc w:val="both"/>
    </w:pPr>
    <w:rPr>
      <w:szCs w:val="22"/>
      <w:lang w:eastAsia="en-US"/>
    </w:rPr>
  </w:style>
  <w:style w:type="paragraph" w:styleId="NormalWeb">
    <w:name w:val="Normal (Web)"/>
    <w:basedOn w:val="Normal"/>
    <w:qFormat/>
    <w:pPr>
      <w:spacing w:before="280" w:after="280"/>
    </w:pPr>
    <w:rPr/>
  </w:style>
  <w:style w:type="paragraph" w:styleId="TCU-SemRecuo">
    <w:name w:val="TCU - Sem Recuo"/>
    <w:basedOn w:val="Normal"/>
    <w:qFormat/>
    <w:pPr>
      <w:tabs>
        <w:tab w:val="clear" w:pos="708"/>
        <w:tab w:val="left" w:pos="1134" w:leader="none"/>
      </w:tabs>
      <w:spacing w:before="0" w:after="160"/>
      <w:jc w:val="both"/>
    </w:pPr>
    <w:rPr>
      <w:szCs w:val="20"/>
    </w:rPr>
  </w:style>
  <w:style w:type="paragraph" w:styleId="TCU-Epgrafe">
    <w:name w:val="TCU - Epígrafe"/>
    <w:basedOn w:val="Normal"/>
    <w:qFormat/>
    <w:pPr>
      <w:ind w:start="2835"/>
      <w:jc w:val="both"/>
    </w:pPr>
    <w:rPr>
      <w:szCs w:val="20"/>
    </w:rPr>
  </w:style>
  <w:style w:type="paragraph" w:styleId="BalloonText">
    <w:name w:val="Balloon Text"/>
    <w:basedOn w:val="Normal"/>
    <w:qFormat/>
    <w:pPr/>
    <w:rPr>
      <w:rFonts w:ascii="Tahoma" w:hAnsi="Tahoma" w:cs="Tahoma"/>
      <w:sz w:val="16"/>
      <w:szCs w:val="16"/>
    </w:rPr>
  </w:style>
  <w:style w:type="paragraph" w:styleId="BodyTextIndent2">
    <w:name w:val="Body Text Indent 2"/>
    <w:basedOn w:val="Normal"/>
    <w:qFormat/>
    <w:pPr>
      <w:spacing w:lineRule="auto" w:line="480" w:before="0" w:after="120"/>
      <w:ind w:start="283"/>
    </w:pPr>
    <w:rPr/>
  </w:style>
  <w:style w:type="paragraph" w:styleId="FootnoteText">
    <w:name w:val="footnote text"/>
    <w:basedOn w:val="Normal"/>
    <w:pPr/>
    <w:rPr>
      <w:sz w:val="20"/>
      <w:szCs w:val="20"/>
    </w:rPr>
  </w:style>
  <w:style w:type="numbering" w:styleId="Semlista" w:default="1">
    <w:name w:val="Sem lista"/>
    <w:uiPriority w:val="99"/>
    <w:semiHidden/>
    <w:unhideWhenUsed/>
    <w:qFormat/>
  </w:style>
  <w:style w:type="numbering" w:styleId="Semlistauser">
    <w:name w:val="Sem lista (user)"/>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rtaldoempreendedor.gov.br/" TargetMode="External"/><Relationship Id="rId3" Type="http://schemas.openxmlformats.org/officeDocument/2006/relationships/hyperlink" Target="https://www.planalto.gov.br/ccivil_03/leis/lcp/lcp123.htm"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91</TotalTime>
  <Application>LibreOffice/26.2.6.1$Windows_X86_64 LibreOffice_project/d1ee4fa77ef37aa4cfa80ea6fd156dcae5d60263</Application>
  <AppVersion>15.0000</AppVersion>
  <Pages>8</Pages>
  <Words>3243</Words>
  <Characters>18805</Characters>
  <CharactersWithSpaces>21950</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2026-03-23T17:53:00Z</dcterms:created>
  <dc:creator>Sônia Maria Trindade</dc:creator>
  <dc:description/>
  <dc:language>pt-BR</dc:language>
  <cp:lastModifiedBy/>
  <dcterms:modified xsi:type="dcterms:W3CDTF">2026-09-28T10:33:52Z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