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0366" w14:textId="77777777" w:rsidR="00C54171" w:rsidRPr="009B0FC1" w:rsidRDefault="00C54171" w:rsidP="00C54171">
      <w:pPr>
        <w:spacing w:beforeLines="120" w:before="288" w:afterLines="120" w:after="288"/>
        <w:contextualSpacing/>
        <w:jc w:val="center"/>
        <w:rPr>
          <w:rFonts w:ascii="Arial" w:eastAsia="MS Mincho" w:hAnsi="Arial" w:cs="Arial"/>
          <w:b/>
          <w:color w:val="FF0000"/>
          <w:sz w:val="22"/>
          <w:szCs w:val="22"/>
        </w:rPr>
      </w:pPr>
      <w:r w:rsidRPr="009B0FC1">
        <w:rPr>
          <w:rFonts w:ascii="Arial" w:eastAsia="MS Mincho" w:hAnsi="Arial" w:cs="Arial"/>
          <w:b/>
          <w:sz w:val="22"/>
          <w:szCs w:val="22"/>
        </w:rPr>
        <w:t>ANEXO</w:t>
      </w:r>
      <w:r w:rsidRPr="00821F6A">
        <w:rPr>
          <w:rFonts w:ascii="Arial" w:eastAsia="MS Mincho" w:hAnsi="Arial" w:cs="Arial"/>
          <w:b/>
          <w:sz w:val="22"/>
          <w:szCs w:val="22"/>
        </w:rPr>
        <w:t xml:space="preserve"> IV </w:t>
      </w:r>
      <w:r w:rsidRPr="009B0FC1">
        <w:rPr>
          <w:rFonts w:ascii="Arial" w:eastAsia="MS Mincho" w:hAnsi="Arial" w:cs="Arial"/>
          <w:b/>
          <w:sz w:val="22"/>
          <w:szCs w:val="22"/>
        </w:rPr>
        <w:t>– DOCUMENTAÇÃO EXIGIDA PARA HABILITAÇÃO</w:t>
      </w:r>
    </w:p>
    <w:p w14:paraId="46CB2331" w14:textId="77777777" w:rsidR="00C54171" w:rsidRDefault="00C54171" w:rsidP="00C54171">
      <w:pPr>
        <w:contextualSpacing/>
        <w:jc w:val="both"/>
        <w:rPr>
          <w:rFonts w:ascii="Arial" w:hAnsi="Arial" w:cs="Arial"/>
          <w:color w:val="FF0000"/>
          <w:sz w:val="22"/>
          <w:szCs w:val="22"/>
        </w:rPr>
      </w:pPr>
    </w:p>
    <w:p w14:paraId="7A11DF0C" w14:textId="77777777" w:rsidR="00C54171" w:rsidRPr="00C54171" w:rsidRDefault="00C54171" w:rsidP="00C54171">
      <w:pPr>
        <w:contextualSpacing/>
        <w:jc w:val="both"/>
        <w:rPr>
          <w:rFonts w:ascii="Arial" w:hAnsi="Arial" w:cs="Arial"/>
          <w:b/>
          <w:bCs/>
          <w:sz w:val="22"/>
          <w:szCs w:val="22"/>
        </w:rPr>
      </w:pPr>
      <w:r w:rsidRPr="00C54171">
        <w:rPr>
          <w:rFonts w:ascii="Arial" w:hAnsi="Arial" w:cs="Arial"/>
          <w:b/>
          <w:bCs/>
          <w:sz w:val="22"/>
          <w:szCs w:val="22"/>
        </w:rPr>
        <w:t>1. HABILITAÇÃO JURÍDICA</w:t>
      </w:r>
    </w:p>
    <w:p w14:paraId="1AA6BDCE" w14:textId="77777777" w:rsidR="00C54171" w:rsidRPr="00C54171" w:rsidRDefault="00C54171" w:rsidP="00C54171">
      <w:pPr>
        <w:contextualSpacing/>
        <w:jc w:val="both"/>
        <w:rPr>
          <w:rFonts w:ascii="Arial" w:hAnsi="Arial" w:cs="Arial"/>
          <w:sz w:val="22"/>
          <w:szCs w:val="22"/>
        </w:rPr>
      </w:pPr>
    </w:p>
    <w:p w14:paraId="09CC57CA"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r w:rsidRPr="00C54171">
        <w:rPr>
          <w:rFonts w:ascii="Arial" w:hAnsi="Arial" w:cs="Arial"/>
          <w:color w:val="000000"/>
          <w:sz w:val="22"/>
          <w:szCs w:val="22"/>
        </w:rPr>
        <w:t xml:space="preserve">1.1 Sociedade Limitada Unipessoal - SLU: ato constitutivo, estatuto ou contrato social em vigor inscrito </w:t>
      </w:r>
      <w:r w:rsidRPr="00C54171">
        <w:rPr>
          <w:rFonts w:ascii="Arial" w:hAnsi="Arial" w:cs="Arial"/>
          <w:sz w:val="22"/>
          <w:szCs w:val="22"/>
        </w:rPr>
        <w:t>no Registro Público de Empresas Mercantis, a cargo</w:t>
      </w:r>
      <w:r w:rsidRPr="00C54171">
        <w:rPr>
          <w:rFonts w:ascii="Arial" w:hAnsi="Arial" w:cs="Arial"/>
          <w:color w:val="000000"/>
          <w:sz w:val="22"/>
          <w:szCs w:val="22"/>
        </w:rPr>
        <w:t xml:space="preserve">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7F508C96" w14:textId="77777777" w:rsidR="00C54171" w:rsidRPr="00C54171" w:rsidRDefault="00C54171" w:rsidP="00C54171">
      <w:pPr>
        <w:tabs>
          <w:tab w:val="left" w:pos="1440"/>
        </w:tabs>
        <w:autoSpaceDE w:val="0"/>
        <w:snapToGrid w:val="0"/>
        <w:contextualSpacing/>
        <w:jc w:val="both"/>
        <w:rPr>
          <w:rFonts w:ascii="Arial" w:hAnsi="Arial" w:cs="Arial"/>
          <w:sz w:val="22"/>
          <w:szCs w:val="22"/>
        </w:rPr>
      </w:pPr>
    </w:p>
    <w:p w14:paraId="502E5D23" w14:textId="77777777" w:rsidR="00C54171" w:rsidRPr="00C54171" w:rsidRDefault="00C54171" w:rsidP="00C54171">
      <w:pPr>
        <w:contextualSpacing/>
        <w:jc w:val="both"/>
        <w:rPr>
          <w:rFonts w:ascii="Arial" w:hAnsi="Arial" w:cs="Arial"/>
          <w:color w:val="000000"/>
          <w:sz w:val="22"/>
          <w:szCs w:val="22"/>
        </w:rPr>
      </w:pPr>
      <w:r w:rsidRPr="00C54171">
        <w:rPr>
          <w:rFonts w:ascii="Arial" w:hAnsi="Arial" w:cs="Arial"/>
          <w:color w:val="000000"/>
          <w:sz w:val="22"/>
          <w:szCs w:val="22"/>
        </w:rPr>
        <w:t xml:space="preserve">1.2 Sociedade Empresária Estrangeira em funcionamento no País: </w:t>
      </w:r>
      <w:r w:rsidRPr="00C54171">
        <w:rPr>
          <w:rFonts w:ascii="Arial" w:hAnsi="Arial" w:cs="Arial"/>
          <w:sz w:val="22"/>
          <w:szCs w:val="22"/>
        </w:rPr>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1DB7F14B"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p>
    <w:p w14:paraId="34B07B1A"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r w:rsidRPr="00C54171">
        <w:rPr>
          <w:rFonts w:ascii="Arial" w:hAnsi="Arial" w:cs="Arial"/>
          <w:color w:val="000000"/>
          <w:sz w:val="22"/>
          <w:szCs w:val="22"/>
        </w:rPr>
        <w:t>1.3 Sociedade Simples: inscrição do ato constitutivo no Registro Civil das Pessoas Jurídicas do local de sua sede, acompanhada de prova da indicação dos seus administradores.</w:t>
      </w:r>
    </w:p>
    <w:p w14:paraId="716F5867"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p>
    <w:p w14:paraId="579F5DF4"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r w:rsidRPr="00C54171">
        <w:rPr>
          <w:rFonts w:ascii="Arial" w:hAnsi="Arial" w:cs="Arial"/>
          <w:color w:val="000000"/>
          <w:sz w:val="22"/>
          <w:szCs w:val="22"/>
        </w:rPr>
        <w:t xml:space="preserve">1.4 </w:t>
      </w:r>
      <w:r w:rsidRPr="00C54171">
        <w:rPr>
          <w:rFonts w:ascii="Arial" w:hAnsi="Arial" w:cs="Arial"/>
          <w:sz w:val="22"/>
          <w:szCs w:val="22"/>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17E44145"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p>
    <w:p w14:paraId="2AA8AF90" w14:textId="77777777" w:rsidR="00C54171" w:rsidRPr="00C54171" w:rsidRDefault="00C54171" w:rsidP="00C54171">
      <w:pPr>
        <w:contextualSpacing/>
        <w:jc w:val="both"/>
        <w:rPr>
          <w:rFonts w:ascii="Arial" w:hAnsi="Arial" w:cs="Arial"/>
          <w:sz w:val="22"/>
          <w:szCs w:val="22"/>
        </w:rPr>
      </w:pPr>
      <w:r w:rsidRPr="00C54171">
        <w:rPr>
          <w:rFonts w:ascii="Arial" w:hAnsi="Arial" w:cs="Arial"/>
          <w:bCs/>
          <w:sz w:val="22"/>
          <w:szCs w:val="22"/>
        </w:rPr>
        <w:t xml:space="preserve">1.7 </w:t>
      </w:r>
      <w:r w:rsidRPr="00C54171">
        <w:rPr>
          <w:rFonts w:ascii="Arial" w:hAnsi="Arial" w:cs="Arial"/>
          <w:bCs/>
          <w:color w:val="000000"/>
          <w:sz w:val="22"/>
          <w:szCs w:val="22"/>
        </w:rPr>
        <w:t>Quando cabível, os documentos apresentados devem estar acompanhados de todas as alterações ou da consolidação respectiva.</w:t>
      </w:r>
    </w:p>
    <w:p w14:paraId="2463E355" w14:textId="77777777" w:rsidR="00C54171" w:rsidRPr="00C54171" w:rsidRDefault="00C54171" w:rsidP="00C54171">
      <w:pPr>
        <w:contextualSpacing/>
        <w:jc w:val="both"/>
        <w:rPr>
          <w:rFonts w:ascii="Arial" w:hAnsi="Arial" w:cs="Arial"/>
          <w:sz w:val="22"/>
          <w:szCs w:val="22"/>
        </w:rPr>
      </w:pPr>
    </w:p>
    <w:p w14:paraId="2714FA50" w14:textId="77777777" w:rsidR="00C54171" w:rsidRPr="00C54171" w:rsidRDefault="00C54171" w:rsidP="00C54171">
      <w:pPr>
        <w:contextualSpacing/>
        <w:jc w:val="both"/>
        <w:rPr>
          <w:rFonts w:ascii="Arial" w:hAnsi="Arial" w:cs="Arial"/>
          <w:b/>
          <w:bCs/>
          <w:color w:val="000000"/>
          <w:sz w:val="22"/>
          <w:szCs w:val="22"/>
        </w:rPr>
      </w:pPr>
      <w:r w:rsidRPr="00C54171">
        <w:rPr>
          <w:rFonts w:ascii="Arial" w:hAnsi="Arial" w:cs="Arial"/>
          <w:b/>
          <w:bCs/>
          <w:sz w:val="22"/>
          <w:szCs w:val="22"/>
        </w:rPr>
        <w:t xml:space="preserve">2. HABILITAÇÃO </w:t>
      </w:r>
      <w:r w:rsidRPr="00C54171">
        <w:rPr>
          <w:rFonts w:ascii="Arial" w:hAnsi="Arial" w:cs="Arial"/>
          <w:b/>
          <w:bCs/>
          <w:color w:val="000000"/>
          <w:sz w:val="22"/>
          <w:szCs w:val="22"/>
        </w:rPr>
        <w:t>FISCAL, SOCIAL E TRABALHISTA:</w:t>
      </w:r>
    </w:p>
    <w:p w14:paraId="6AD39F02" w14:textId="77777777" w:rsidR="00C54171" w:rsidRPr="00C54171" w:rsidRDefault="00C54171" w:rsidP="00C54171">
      <w:pPr>
        <w:contextualSpacing/>
        <w:jc w:val="both"/>
        <w:rPr>
          <w:rFonts w:ascii="Arial" w:hAnsi="Arial" w:cs="Arial"/>
          <w:b/>
          <w:bCs/>
          <w:color w:val="000000"/>
          <w:sz w:val="22"/>
          <w:szCs w:val="22"/>
        </w:rPr>
      </w:pPr>
    </w:p>
    <w:p w14:paraId="538808A9" w14:textId="77777777" w:rsidR="00C54171" w:rsidRPr="00C54171" w:rsidRDefault="00C54171" w:rsidP="00C54171">
      <w:pPr>
        <w:tabs>
          <w:tab w:val="left" w:pos="1440"/>
        </w:tabs>
        <w:autoSpaceDE w:val="0"/>
        <w:snapToGrid w:val="0"/>
        <w:contextualSpacing/>
        <w:jc w:val="both"/>
        <w:rPr>
          <w:rFonts w:ascii="Arial" w:hAnsi="Arial" w:cs="Arial"/>
          <w:sz w:val="22"/>
          <w:szCs w:val="22"/>
          <w:lang w:eastAsia="en-US"/>
        </w:rPr>
      </w:pPr>
      <w:r w:rsidRPr="00C54171">
        <w:rPr>
          <w:rFonts w:ascii="Arial" w:hAnsi="Arial" w:cs="Arial"/>
          <w:sz w:val="22"/>
          <w:szCs w:val="22"/>
          <w:lang w:eastAsia="en-US"/>
        </w:rPr>
        <w:t>2.1 Inscrição no Cadastro Nacional de Pessoas Jurídicas.</w:t>
      </w:r>
    </w:p>
    <w:p w14:paraId="24C11BD4" w14:textId="77777777" w:rsidR="00C54171" w:rsidRPr="00C54171" w:rsidRDefault="00C54171" w:rsidP="00C54171">
      <w:pPr>
        <w:tabs>
          <w:tab w:val="left" w:pos="1440"/>
        </w:tabs>
        <w:autoSpaceDE w:val="0"/>
        <w:snapToGrid w:val="0"/>
        <w:contextualSpacing/>
        <w:jc w:val="both"/>
        <w:rPr>
          <w:rFonts w:ascii="Arial" w:hAnsi="Arial" w:cs="Arial"/>
          <w:sz w:val="22"/>
          <w:szCs w:val="22"/>
          <w:lang w:eastAsia="en-US"/>
        </w:rPr>
      </w:pPr>
    </w:p>
    <w:p w14:paraId="1F556517" w14:textId="77777777" w:rsidR="00C54171" w:rsidRPr="00C54171" w:rsidRDefault="00C54171" w:rsidP="00C54171">
      <w:pPr>
        <w:tabs>
          <w:tab w:val="left" w:pos="1440"/>
        </w:tabs>
        <w:autoSpaceDE w:val="0"/>
        <w:snapToGrid w:val="0"/>
        <w:contextualSpacing/>
        <w:jc w:val="both"/>
        <w:rPr>
          <w:rFonts w:ascii="Arial" w:hAnsi="Arial" w:cs="Arial"/>
          <w:sz w:val="22"/>
          <w:szCs w:val="22"/>
        </w:rPr>
      </w:pPr>
      <w:r w:rsidRPr="00C54171">
        <w:rPr>
          <w:rFonts w:ascii="Arial" w:hAnsi="Arial" w:cs="Arial"/>
          <w:sz w:val="22"/>
          <w:szCs w:val="22"/>
        </w:rPr>
        <w:t xml:space="preserve">2.2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2A13EB5D" w14:textId="77777777" w:rsidR="00C54171" w:rsidRPr="00C54171" w:rsidRDefault="00C54171" w:rsidP="00C54171">
      <w:pPr>
        <w:tabs>
          <w:tab w:val="left" w:pos="1440"/>
        </w:tabs>
        <w:autoSpaceDE w:val="0"/>
        <w:snapToGrid w:val="0"/>
        <w:contextualSpacing/>
        <w:jc w:val="both"/>
        <w:rPr>
          <w:rFonts w:ascii="Arial" w:hAnsi="Arial" w:cs="Arial"/>
          <w:sz w:val="22"/>
          <w:szCs w:val="22"/>
        </w:rPr>
      </w:pPr>
    </w:p>
    <w:p w14:paraId="5939179D" w14:textId="77777777" w:rsidR="00C54171" w:rsidRPr="00C54171" w:rsidRDefault="00C54171" w:rsidP="00C54171">
      <w:pPr>
        <w:tabs>
          <w:tab w:val="left" w:pos="1440"/>
        </w:tabs>
        <w:autoSpaceDE w:val="0"/>
        <w:snapToGrid w:val="0"/>
        <w:contextualSpacing/>
        <w:jc w:val="both"/>
        <w:rPr>
          <w:rFonts w:ascii="Arial" w:hAnsi="Arial" w:cs="Arial"/>
          <w:sz w:val="22"/>
          <w:szCs w:val="22"/>
        </w:rPr>
      </w:pPr>
      <w:r w:rsidRPr="00C54171">
        <w:rPr>
          <w:rFonts w:ascii="Arial" w:hAnsi="Arial" w:cs="Arial"/>
          <w:color w:val="000000"/>
          <w:sz w:val="22"/>
          <w:szCs w:val="22"/>
          <w:lang w:eastAsia="en-US"/>
        </w:rPr>
        <w:t>2.3 Regularidade com o Fundo de Garantia do Tempo de Serviço (FGTS).</w:t>
      </w:r>
    </w:p>
    <w:p w14:paraId="7E4BD126" w14:textId="77777777" w:rsidR="00C54171" w:rsidRPr="00C54171" w:rsidRDefault="00C54171" w:rsidP="00C54171">
      <w:pPr>
        <w:tabs>
          <w:tab w:val="left" w:pos="1440"/>
        </w:tabs>
        <w:autoSpaceDE w:val="0"/>
        <w:snapToGrid w:val="0"/>
        <w:contextualSpacing/>
        <w:jc w:val="both"/>
        <w:rPr>
          <w:rFonts w:ascii="Arial" w:hAnsi="Arial" w:cs="Arial"/>
          <w:sz w:val="22"/>
          <w:szCs w:val="22"/>
        </w:rPr>
      </w:pPr>
    </w:p>
    <w:p w14:paraId="3DA3AD52" w14:textId="77777777" w:rsidR="00C54171" w:rsidRPr="00C54171" w:rsidRDefault="00C54171" w:rsidP="00C54171">
      <w:pPr>
        <w:tabs>
          <w:tab w:val="left" w:pos="1440"/>
        </w:tabs>
        <w:autoSpaceDE w:val="0"/>
        <w:snapToGrid w:val="0"/>
        <w:contextualSpacing/>
        <w:jc w:val="both"/>
        <w:rPr>
          <w:rFonts w:ascii="Arial" w:hAnsi="Arial" w:cs="Arial"/>
          <w:sz w:val="22"/>
          <w:szCs w:val="22"/>
        </w:rPr>
      </w:pPr>
      <w:r w:rsidRPr="00C54171">
        <w:rPr>
          <w:rFonts w:ascii="Arial" w:hAnsi="Arial" w:cs="Arial"/>
          <w:color w:val="000000"/>
          <w:sz w:val="22"/>
          <w:szCs w:val="22"/>
        </w:rPr>
        <w:t>2.4 Declaração de que não emprega menor de 18 anos em trabalho noturno, perigoso ou insalubre e não emprega menor de 16 anos, salvo menor, a partir de 14 anos, na condição de aprendiz, nos termos do art. 7°, XXXIII, da Constituição.</w:t>
      </w:r>
    </w:p>
    <w:p w14:paraId="4B3CE8D9" w14:textId="77777777" w:rsidR="00C54171" w:rsidRPr="00C54171" w:rsidRDefault="00C54171" w:rsidP="00C54171">
      <w:pPr>
        <w:tabs>
          <w:tab w:val="left" w:pos="1440"/>
        </w:tabs>
        <w:autoSpaceDE w:val="0"/>
        <w:snapToGrid w:val="0"/>
        <w:contextualSpacing/>
        <w:jc w:val="both"/>
        <w:rPr>
          <w:rFonts w:ascii="Arial" w:hAnsi="Arial" w:cs="Arial"/>
          <w:color w:val="000000"/>
          <w:sz w:val="22"/>
          <w:szCs w:val="22"/>
        </w:rPr>
      </w:pPr>
    </w:p>
    <w:p w14:paraId="7ABDA04D" w14:textId="77777777" w:rsidR="00C54171" w:rsidRPr="00C54171" w:rsidRDefault="00C54171" w:rsidP="00C54171">
      <w:pPr>
        <w:tabs>
          <w:tab w:val="left" w:pos="1440"/>
        </w:tabs>
        <w:autoSpaceDE w:val="0"/>
        <w:snapToGrid w:val="0"/>
        <w:contextualSpacing/>
        <w:jc w:val="both"/>
        <w:rPr>
          <w:rFonts w:ascii="Arial" w:hAnsi="Arial" w:cs="Arial"/>
          <w:sz w:val="22"/>
          <w:szCs w:val="22"/>
          <w:lang w:eastAsia="en-US"/>
        </w:rPr>
      </w:pPr>
      <w:r w:rsidRPr="00C54171">
        <w:rPr>
          <w:rFonts w:ascii="Arial" w:hAnsi="Arial" w:cs="Arial"/>
          <w:sz w:val="22"/>
          <w:szCs w:val="22"/>
          <w:lang w:eastAsia="en-US"/>
        </w:rP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7BB9126" w14:textId="77777777" w:rsidR="00C54171" w:rsidRPr="00C54171" w:rsidRDefault="00C54171" w:rsidP="00C54171">
      <w:pPr>
        <w:tabs>
          <w:tab w:val="left" w:pos="1440"/>
        </w:tabs>
        <w:autoSpaceDE w:val="0"/>
        <w:snapToGrid w:val="0"/>
        <w:contextualSpacing/>
        <w:jc w:val="both"/>
        <w:rPr>
          <w:rFonts w:ascii="Arial" w:hAnsi="Arial" w:cs="Arial"/>
          <w:sz w:val="22"/>
          <w:szCs w:val="22"/>
          <w:lang w:eastAsia="en-US"/>
        </w:rPr>
      </w:pPr>
    </w:p>
    <w:p w14:paraId="51BC3D4A" w14:textId="77777777" w:rsidR="00C54171" w:rsidRPr="00C54171" w:rsidRDefault="00C54171" w:rsidP="00C54171">
      <w:pPr>
        <w:tabs>
          <w:tab w:val="left" w:pos="1440"/>
        </w:tabs>
        <w:autoSpaceDE w:val="0"/>
        <w:snapToGrid w:val="0"/>
        <w:contextualSpacing/>
        <w:jc w:val="both"/>
        <w:rPr>
          <w:rFonts w:ascii="Arial" w:hAnsi="Arial" w:cs="Arial"/>
          <w:bCs/>
          <w:sz w:val="22"/>
          <w:szCs w:val="22"/>
        </w:rPr>
      </w:pPr>
      <w:r w:rsidRPr="00C54171">
        <w:rPr>
          <w:rFonts w:ascii="Arial" w:hAnsi="Arial" w:cs="Arial"/>
          <w:bCs/>
          <w:sz w:val="22"/>
          <w:szCs w:val="22"/>
        </w:rPr>
        <w:lastRenderedPageBreak/>
        <w:t xml:space="preserve">2.6 Prova de </w:t>
      </w:r>
      <w:r w:rsidRPr="00C54171">
        <w:rPr>
          <w:rFonts w:ascii="Arial" w:hAnsi="Arial" w:cs="Arial"/>
          <w:color w:val="000000"/>
          <w:sz w:val="22"/>
          <w:szCs w:val="22"/>
        </w:rPr>
        <w:t xml:space="preserve">inscrição no cadastro de contribuintes </w:t>
      </w:r>
      <w:r w:rsidRPr="00C54171">
        <w:rPr>
          <w:rFonts w:ascii="Arial" w:hAnsi="Arial" w:cs="Arial"/>
          <w:sz w:val="22"/>
          <w:szCs w:val="22"/>
        </w:rPr>
        <w:t>municipal</w:t>
      </w:r>
      <w:r w:rsidRPr="00C54171">
        <w:rPr>
          <w:rFonts w:ascii="Arial" w:hAnsi="Arial" w:cs="Arial"/>
          <w:color w:val="000000"/>
          <w:sz w:val="22"/>
          <w:szCs w:val="22"/>
        </w:rPr>
        <w:t>, relativo ao domicílio ou sede do fornecedor, pertinente ao seu ramo de atividade e compatível com o objeto contratual</w:t>
      </w:r>
      <w:r w:rsidRPr="00C54171">
        <w:rPr>
          <w:rFonts w:ascii="Arial" w:hAnsi="Arial" w:cs="Arial"/>
          <w:bCs/>
          <w:sz w:val="22"/>
          <w:szCs w:val="22"/>
        </w:rPr>
        <w:t>.</w:t>
      </w:r>
    </w:p>
    <w:p w14:paraId="3D881B98" w14:textId="77777777" w:rsidR="00C54171" w:rsidRPr="00C54171" w:rsidRDefault="00C54171" w:rsidP="00C54171">
      <w:pPr>
        <w:tabs>
          <w:tab w:val="left" w:pos="1440"/>
        </w:tabs>
        <w:autoSpaceDE w:val="0"/>
        <w:snapToGrid w:val="0"/>
        <w:contextualSpacing/>
        <w:jc w:val="both"/>
        <w:rPr>
          <w:rFonts w:ascii="Arial" w:hAnsi="Arial" w:cs="Arial"/>
          <w:sz w:val="22"/>
          <w:szCs w:val="22"/>
          <w:lang w:eastAsia="en-US"/>
        </w:rPr>
      </w:pPr>
    </w:p>
    <w:p w14:paraId="29977CA6" w14:textId="77777777" w:rsidR="00C54171" w:rsidRPr="00C54171" w:rsidRDefault="00C54171" w:rsidP="00C54171">
      <w:pPr>
        <w:tabs>
          <w:tab w:val="left" w:pos="1440"/>
        </w:tabs>
        <w:autoSpaceDE w:val="0"/>
        <w:snapToGrid w:val="0"/>
        <w:contextualSpacing/>
        <w:jc w:val="both"/>
        <w:rPr>
          <w:rFonts w:ascii="Arial" w:hAnsi="Arial" w:cs="Arial"/>
          <w:sz w:val="22"/>
          <w:szCs w:val="22"/>
        </w:rPr>
      </w:pPr>
      <w:r w:rsidRPr="00C54171">
        <w:rPr>
          <w:rFonts w:ascii="Arial" w:hAnsi="Arial" w:cs="Arial"/>
          <w:sz w:val="22"/>
          <w:szCs w:val="22"/>
        </w:rPr>
        <w:t>2.7 Prova de regularidade com a Fazenda do Estado do Rio de Janeiro, mediante a apresentação de:</w:t>
      </w:r>
    </w:p>
    <w:p w14:paraId="3395AB65" w14:textId="77777777" w:rsidR="00C54171" w:rsidRPr="00C54171" w:rsidRDefault="00C54171" w:rsidP="00C54171">
      <w:pPr>
        <w:tabs>
          <w:tab w:val="left" w:pos="1440"/>
        </w:tabs>
        <w:autoSpaceDE w:val="0"/>
        <w:snapToGrid w:val="0"/>
        <w:contextualSpacing/>
        <w:jc w:val="both"/>
        <w:rPr>
          <w:rFonts w:ascii="Arial" w:hAnsi="Arial" w:cs="Arial"/>
          <w:sz w:val="22"/>
          <w:szCs w:val="22"/>
        </w:rPr>
      </w:pPr>
    </w:p>
    <w:p w14:paraId="0FDD1949" w14:textId="77777777" w:rsidR="00C54171" w:rsidRPr="00C54171" w:rsidRDefault="00C54171" w:rsidP="00C54171">
      <w:pPr>
        <w:tabs>
          <w:tab w:val="left" w:pos="1440"/>
        </w:tabs>
        <w:autoSpaceDE w:val="0"/>
        <w:snapToGrid w:val="0"/>
        <w:contextualSpacing/>
        <w:jc w:val="both"/>
        <w:rPr>
          <w:rFonts w:ascii="Arial" w:hAnsi="Arial" w:cs="Arial"/>
          <w:sz w:val="22"/>
          <w:szCs w:val="22"/>
          <w:lang w:eastAsia="en-US"/>
        </w:rPr>
      </w:pPr>
      <w:r w:rsidRPr="00C54171">
        <w:rPr>
          <w:rFonts w:ascii="Arial" w:hAnsi="Arial" w:cs="Arial"/>
          <w:sz w:val="22"/>
          <w:szCs w:val="22"/>
        </w:rPr>
        <w:t xml:space="preserve">2.7.1 Certidão Negativa de Débitos, ou Certidão Positiva com efeito de Negativa, expedida pela Secretaria de Estado de Fazenda; e </w:t>
      </w:r>
    </w:p>
    <w:p w14:paraId="301FC5F6" w14:textId="77777777" w:rsidR="00C54171" w:rsidRPr="00C54171" w:rsidRDefault="00C54171" w:rsidP="00C54171">
      <w:pPr>
        <w:pStyle w:val="Recuodecorpodetexto3"/>
        <w:spacing w:line="240" w:lineRule="auto"/>
        <w:ind w:firstLine="0"/>
        <w:contextualSpacing/>
        <w:rPr>
          <w:rFonts w:cs="Arial"/>
          <w:sz w:val="22"/>
          <w:szCs w:val="22"/>
        </w:rPr>
      </w:pPr>
    </w:p>
    <w:p w14:paraId="4DFA29EF" w14:textId="77777777" w:rsidR="00C54171" w:rsidRPr="00C54171" w:rsidRDefault="00C54171" w:rsidP="00C54171">
      <w:pPr>
        <w:pStyle w:val="Recuodecorpodetexto3"/>
        <w:spacing w:line="240" w:lineRule="auto"/>
        <w:ind w:firstLine="0"/>
        <w:contextualSpacing/>
        <w:rPr>
          <w:rFonts w:cs="Arial"/>
          <w:sz w:val="22"/>
          <w:szCs w:val="22"/>
        </w:rPr>
      </w:pPr>
      <w:r w:rsidRPr="00C54171">
        <w:rPr>
          <w:rFonts w:cs="Arial"/>
          <w:sz w:val="22"/>
          <w:szCs w:val="22"/>
        </w:rPr>
        <w:t>2.7.2 Certidão Negativa de Débitos em Dívida Ativa, ou Certidão Positiva com efeito de Negativa, para fins de participação em licitação, expedida pela Procuradoria Geral do Estado.</w:t>
      </w:r>
    </w:p>
    <w:p w14:paraId="11279F2D" w14:textId="77777777" w:rsidR="00C54171" w:rsidRPr="00C54171" w:rsidRDefault="00C54171" w:rsidP="00C54171">
      <w:pPr>
        <w:tabs>
          <w:tab w:val="left" w:pos="1440"/>
        </w:tabs>
        <w:autoSpaceDE w:val="0"/>
        <w:snapToGrid w:val="0"/>
        <w:contextualSpacing/>
        <w:jc w:val="both"/>
        <w:rPr>
          <w:rFonts w:ascii="Arial" w:hAnsi="Arial" w:cs="Arial"/>
          <w:sz w:val="22"/>
          <w:szCs w:val="22"/>
        </w:rPr>
      </w:pPr>
    </w:p>
    <w:p w14:paraId="381243A9" w14:textId="77777777" w:rsidR="00C54171" w:rsidRPr="00C54171" w:rsidRDefault="00C54171" w:rsidP="00C54171">
      <w:pPr>
        <w:tabs>
          <w:tab w:val="left" w:pos="1440"/>
        </w:tabs>
        <w:autoSpaceDE w:val="0"/>
        <w:snapToGrid w:val="0"/>
        <w:contextualSpacing/>
        <w:jc w:val="both"/>
        <w:rPr>
          <w:rFonts w:ascii="Arial" w:hAnsi="Arial" w:cs="Arial"/>
          <w:sz w:val="22"/>
          <w:szCs w:val="22"/>
        </w:rPr>
      </w:pPr>
      <w:r w:rsidRPr="00C54171">
        <w:rPr>
          <w:rFonts w:ascii="Arial" w:hAnsi="Arial" w:cs="Arial"/>
          <w:sz w:val="22"/>
          <w:szCs w:val="22"/>
        </w:rPr>
        <w:t>2.8 Regularidade com a Fazenda Municipal do domicílio ou sede do fornecedor, relativa à atividade em cujo exercício contrata ou concorre, com a apresentação de Certidão Negativa de Débitos, ou Certidão Positiva com efeito de Negativa do Imposto sobre Serviços de Qualquer Natureza – ISS.</w:t>
      </w:r>
    </w:p>
    <w:p w14:paraId="2FBA7AB8" w14:textId="77777777" w:rsidR="00C54171" w:rsidRPr="00C54171" w:rsidRDefault="00C54171" w:rsidP="00C54171">
      <w:pPr>
        <w:tabs>
          <w:tab w:val="left" w:pos="1440"/>
        </w:tabs>
        <w:autoSpaceDE w:val="0"/>
        <w:snapToGrid w:val="0"/>
        <w:contextualSpacing/>
        <w:jc w:val="both"/>
        <w:rPr>
          <w:rFonts w:ascii="Arial" w:hAnsi="Arial" w:cs="Arial"/>
          <w:sz w:val="22"/>
          <w:szCs w:val="22"/>
        </w:rPr>
      </w:pPr>
    </w:p>
    <w:p w14:paraId="2002B3E5" w14:textId="77777777" w:rsidR="00C54171" w:rsidRPr="00C54171" w:rsidRDefault="00C54171" w:rsidP="00C54171">
      <w:pPr>
        <w:contextualSpacing/>
        <w:jc w:val="both"/>
        <w:rPr>
          <w:rFonts w:ascii="Arial" w:hAnsi="Arial" w:cs="Arial"/>
          <w:sz w:val="22"/>
          <w:szCs w:val="22"/>
        </w:rPr>
      </w:pPr>
      <w:r w:rsidRPr="00C54171">
        <w:rPr>
          <w:rFonts w:ascii="Arial" w:hAnsi="Arial" w:cs="Arial"/>
          <w:sz w:val="22"/>
          <w:szCs w:val="22"/>
        </w:rPr>
        <w:t xml:space="preserve">2.9 Caso o fornecedor seja considerado isento dos tributos </w:t>
      </w:r>
      <w:r w:rsidRPr="00C54171">
        <w:rPr>
          <w:rFonts w:ascii="Arial" w:hAnsi="Arial" w:cs="Arial"/>
          <w:iCs/>
          <w:sz w:val="22"/>
          <w:szCs w:val="22"/>
        </w:rPr>
        <w:t>municipais</w:t>
      </w:r>
      <w:r w:rsidRPr="00C54171">
        <w:rPr>
          <w:rFonts w:ascii="Arial" w:hAnsi="Arial" w:cs="Arial"/>
          <w:color w:val="FF0000"/>
          <w:sz w:val="22"/>
          <w:szCs w:val="22"/>
        </w:rPr>
        <w:t xml:space="preserve"> </w:t>
      </w:r>
      <w:r w:rsidRPr="00C54171">
        <w:rPr>
          <w:rFonts w:ascii="Arial" w:hAnsi="Arial" w:cs="Arial"/>
          <w:sz w:val="22"/>
          <w:szCs w:val="22"/>
        </w:rPr>
        <w:t>relacionados ao objeto contratual, deverá comprovar tal condição mediante a apresentação de declaração da Fazenda respectiva do seu domicílio ou sede, ou outra equivalente, na forma da lei.</w:t>
      </w:r>
    </w:p>
    <w:p w14:paraId="22BC23DF" w14:textId="77777777" w:rsidR="00C54171" w:rsidRPr="00C54171" w:rsidRDefault="00C54171" w:rsidP="00C54171">
      <w:pPr>
        <w:contextualSpacing/>
        <w:jc w:val="both"/>
        <w:rPr>
          <w:rFonts w:ascii="Arial" w:hAnsi="Arial" w:cs="Arial"/>
          <w:sz w:val="22"/>
          <w:szCs w:val="22"/>
        </w:rPr>
      </w:pPr>
    </w:p>
    <w:p w14:paraId="26B8E706" w14:textId="77777777" w:rsidR="00C54171" w:rsidRPr="00C54171" w:rsidRDefault="00C54171" w:rsidP="00C54171">
      <w:pPr>
        <w:pStyle w:val="Recuodecorpodetexto"/>
        <w:spacing w:after="0"/>
        <w:ind w:left="0"/>
        <w:contextualSpacing/>
        <w:jc w:val="both"/>
        <w:rPr>
          <w:rFonts w:ascii="Arial" w:hAnsi="Arial" w:cs="Arial"/>
          <w:sz w:val="22"/>
          <w:szCs w:val="22"/>
        </w:rPr>
      </w:pPr>
      <w:bookmarkStart w:id="0" w:name="_Hlk178775808"/>
      <w:r w:rsidRPr="00C54171">
        <w:rPr>
          <w:rFonts w:ascii="Arial" w:hAnsi="Arial" w:cs="Arial"/>
          <w:bCs/>
          <w:sz w:val="22"/>
          <w:szCs w:val="22"/>
        </w:rPr>
        <w:t>2.10</w:t>
      </w:r>
      <w:r w:rsidRPr="00C54171">
        <w:rPr>
          <w:rFonts w:ascii="Arial" w:hAnsi="Arial" w:cs="Arial"/>
          <w:b/>
          <w:sz w:val="22"/>
          <w:szCs w:val="22"/>
        </w:rPr>
        <w:t xml:space="preserve"> </w:t>
      </w:r>
      <w:r w:rsidRPr="00C54171">
        <w:rPr>
          <w:rFonts w:ascii="Arial" w:hAnsi="Arial" w:cs="Arial"/>
          <w:sz w:val="22"/>
          <w:szCs w:val="22"/>
        </w:rPr>
        <w:t>Na hipótese de cuidar-se de microempresa ou de empresa de pequeno porte, na forma do art. 42 da Lei Complementar nº 123/2006, a documentação somente será exigida para efeito de assinatura do contrato, caso se sagre vencedora no certame.</w:t>
      </w:r>
    </w:p>
    <w:p w14:paraId="1E838FD2" w14:textId="77777777" w:rsidR="00C54171" w:rsidRPr="00C54171" w:rsidRDefault="00C54171" w:rsidP="00C54171">
      <w:pPr>
        <w:contextualSpacing/>
        <w:jc w:val="both"/>
        <w:rPr>
          <w:rFonts w:ascii="Arial" w:hAnsi="Arial" w:cs="Arial"/>
          <w:sz w:val="22"/>
          <w:szCs w:val="22"/>
        </w:rPr>
      </w:pPr>
    </w:p>
    <w:p w14:paraId="38313F6F" w14:textId="77777777" w:rsidR="00C54171" w:rsidRPr="00C54171" w:rsidRDefault="00C54171" w:rsidP="00C54171">
      <w:pPr>
        <w:contextualSpacing/>
        <w:jc w:val="both"/>
        <w:rPr>
          <w:rFonts w:ascii="Arial" w:hAnsi="Arial" w:cs="Arial"/>
          <w:sz w:val="22"/>
          <w:szCs w:val="22"/>
        </w:rPr>
      </w:pPr>
      <w:r w:rsidRPr="00C54171">
        <w:rPr>
          <w:rFonts w:ascii="Arial" w:hAnsi="Arial" w:cs="Arial"/>
          <w:sz w:val="22"/>
          <w:szCs w:val="22"/>
        </w:rPr>
        <w:t xml:space="preserve">2.10.1 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43, § 1º, da Lei Complementar nº 123/2006. </w:t>
      </w:r>
    </w:p>
    <w:bookmarkEnd w:id="0"/>
    <w:p w14:paraId="545B5E7D" w14:textId="77777777" w:rsidR="00C54171" w:rsidRPr="00C54171" w:rsidRDefault="00C54171" w:rsidP="00C54171">
      <w:pPr>
        <w:contextualSpacing/>
        <w:jc w:val="both"/>
        <w:rPr>
          <w:rFonts w:ascii="Arial" w:hAnsi="Arial" w:cs="Arial"/>
          <w:sz w:val="22"/>
          <w:szCs w:val="22"/>
        </w:rPr>
      </w:pPr>
    </w:p>
    <w:p w14:paraId="5044C118" w14:textId="77777777" w:rsidR="00C54171" w:rsidRPr="00C54171" w:rsidRDefault="00C54171" w:rsidP="00C54171">
      <w:pPr>
        <w:contextualSpacing/>
        <w:jc w:val="both"/>
        <w:rPr>
          <w:rFonts w:ascii="Arial" w:hAnsi="Arial" w:cs="Arial"/>
          <w:sz w:val="22"/>
          <w:szCs w:val="22"/>
        </w:rPr>
      </w:pPr>
      <w:r w:rsidRPr="00C54171">
        <w:rPr>
          <w:rFonts w:ascii="Arial" w:hAnsi="Arial" w:cs="Arial"/>
          <w:sz w:val="22"/>
          <w:szCs w:val="22"/>
        </w:rPr>
        <w:t>2.10.2 O prazo acima poderá ser prorrogado por igual período, a critério exclusivo da Administração Pública.</w:t>
      </w:r>
    </w:p>
    <w:p w14:paraId="78B08DD5" w14:textId="77777777" w:rsidR="00C54171" w:rsidRPr="00C54171" w:rsidRDefault="00C54171" w:rsidP="00C54171">
      <w:pPr>
        <w:contextualSpacing/>
        <w:jc w:val="both"/>
        <w:rPr>
          <w:rFonts w:ascii="Arial" w:hAnsi="Arial" w:cs="Arial"/>
          <w:bCs/>
          <w:sz w:val="22"/>
          <w:szCs w:val="22"/>
        </w:rPr>
      </w:pPr>
    </w:p>
    <w:p w14:paraId="283E1599" w14:textId="77777777" w:rsidR="00C54171" w:rsidRPr="00C54171" w:rsidRDefault="00C54171" w:rsidP="00C54171">
      <w:pPr>
        <w:contextualSpacing/>
        <w:jc w:val="both"/>
        <w:rPr>
          <w:rFonts w:ascii="Arial" w:hAnsi="Arial" w:cs="Arial"/>
          <w:sz w:val="22"/>
          <w:szCs w:val="22"/>
        </w:rPr>
      </w:pPr>
      <w:bookmarkStart w:id="1" w:name="_Hlk178775828"/>
      <w:r w:rsidRPr="00C54171">
        <w:rPr>
          <w:rFonts w:ascii="Arial" w:hAnsi="Arial" w:cs="Arial"/>
          <w:bCs/>
          <w:sz w:val="22"/>
          <w:szCs w:val="22"/>
        </w:rPr>
        <w:t xml:space="preserve">2.10.3 </w:t>
      </w:r>
      <w:r w:rsidRPr="00C54171">
        <w:rPr>
          <w:rFonts w:ascii="Arial" w:hAnsi="Arial" w:cs="Arial"/>
          <w:sz w:val="22"/>
          <w:szCs w:val="22"/>
        </w:rPr>
        <w:t xml:space="preserve">A não regularização da documentação no prazo estipulado implicará a decadência do direito à contratação, na forma do § 2º do art. 43 da Lei Complementar nº 123/2006, sem prejuízo da aplicação das sanções previstas neste Edital. </w:t>
      </w:r>
    </w:p>
    <w:bookmarkEnd w:id="1"/>
    <w:p w14:paraId="70CF53BD" w14:textId="77777777" w:rsidR="00C54171" w:rsidRPr="00C54171" w:rsidRDefault="00C54171" w:rsidP="00C54171">
      <w:pPr>
        <w:spacing w:beforeLines="120" w:before="288" w:afterLines="120" w:after="288"/>
        <w:contextualSpacing/>
        <w:jc w:val="both"/>
        <w:rPr>
          <w:rFonts w:ascii="Arial" w:eastAsia="MS Mincho" w:hAnsi="Arial" w:cs="Arial"/>
          <w:b/>
          <w:color w:val="FF0000"/>
          <w:sz w:val="22"/>
          <w:szCs w:val="22"/>
        </w:rPr>
      </w:pPr>
    </w:p>
    <w:p w14:paraId="5CCC6C99" w14:textId="77777777" w:rsidR="00C54171" w:rsidRPr="00C54171" w:rsidRDefault="00C54171" w:rsidP="00C54171">
      <w:pPr>
        <w:jc w:val="both"/>
        <w:rPr>
          <w:rFonts w:ascii="Arial" w:hAnsi="Arial" w:cs="Arial"/>
          <w:sz w:val="22"/>
          <w:szCs w:val="22"/>
        </w:rPr>
      </w:pPr>
      <w:r w:rsidRPr="00C54171">
        <w:rPr>
          <w:rFonts w:ascii="Arial" w:hAnsi="Arial" w:cs="Arial"/>
          <w:b/>
          <w:bCs/>
          <w:sz w:val="22"/>
          <w:szCs w:val="22"/>
        </w:rPr>
        <w:t xml:space="preserve">3. HABILITAÇÃO </w:t>
      </w:r>
      <w:r w:rsidRPr="00C54171">
        <w:rPr>
          <w:rFonts w:ascii="Arial" w:hAnsi="Arial" w:cs="Arial"/>
          <w:b/>
          <w:bCs/>
          <w:color w:val="000000"/>
          <w:sz w:val="22"/>
          <w:szCs w:val="22"/>
        </w:rPr>
        <w:t xml:space="preserve">ECONÔMICO-FINANCEIRA: </w:t>
      </w:r>
    </w:p>
    <w:p w14:paraId="296F1C00" w14:textId="77777777" w:rsidR="00C54171" w:rsidRPr="00C54171" w:rsidRDefault="00C54171" w:rsidP="00C54171">
      <w:pPr>
        <w:jc w:val="both"/>
        <w:rPr>
          <w:rFonts w:ascii="Arial" w:hAnsi="Arial" w:cs="Arial"/>
          <w:sz w:val="22"/>
          <w:szCs w:val="22"/>
        </w:rPr>
      </w:pPr>
    </w:p>
    <w:p w14:paraId="2691ED7D" w14:textId="77777777" w:rsidR="00C54171" w:rsidRPr="00C54171" w:rsidRDefault="00C54171" w:rsidP="00C54171">
      <w:pPr>
        <w:jc w:val="both"/>
        <w:rPr>
          <w:rFonts w:ascii="Arial" w:hAnsi="Arial" w:cs="Arial"/>
          <w:sz w:val="22"/>
          <w:szCs w:val="22"/>
        </w:rPr>
      </w:pPr>
      <w:r w:rsidRPr="00C54171">
        <w:rPr>
          <w:rFonts w:ascii="Arial" w:hAnsi="Arial" w:cs="Arial"/>
          <w:sz w:val="22"/>
          <w:szCs w:val="22"/>
        </w:rPr>
        <w:t>3.1 Certidão negativa de falência expedida pelo distribuidor da sede do fornecedor, caso se trate de pessoa jurídica, ou certidão negativa de insolvência civil expedida pelo distribuidor do domicílio ou sede do fornecedor, caso se trate de pessoa física</w:t>
      </w:r>
      <w:hyperlink r:id="rId7" w:anchor="art5">
        <w:r w:rsidRPr="00C54171">
          <w:rPr>
            <w:rFonts w:ascii="Arial" w:hAnsi="Arial" w:cs="Arial"/>
            <w:sz w:val="22"/>
            <w:szCs w:val="22"/>
          </w:rPr>
          <w:t xml:space="preserve"> </w:t>
        </w:r>
      </w:hyperlink>
      <w:r w:rsidRPr="00C54171">
        <w:rPr>
          <w:rFonts w:ascii="Arial" w:hAnsi="Arial" w:cs="Arial"/>
          <w:sz w:val="22"/>
          <w:szCs w:val="22"/>
        </w:rPr>
        <w:t xml:space="preserve"> ou de sociedade simples.</w:t>
      </w:r>
    </w:p>
    <w:p w14:paraId="4750A4CF" w14:textId="77777777" w:rsidR="00C54171" w:rsidRPr="00C54171" w:rsidRDefault="00C54171" w:rsidP="00C54171">
      <w:pPr>
        <w:jc w:val="both"/>
        <w:rPr>
          <w:rFonts w:ascii="Arial" w:hAnsi="Arial" w:cs="Arial"/>
          <w:sz w:val="22"/>
          <w:szCs w:val="22"/>
        </w:rPr>
      </w:pPr>
    </w:p>
    <w:p w14:paraId="7BCF6F37" w14:textId="77777777" w:rsidR="00C54171" w:rsidRPr="00C54171" w:rsidRDefault="00C54171" w:rsidP="00C54171">
      <w:pPr>
        <w:jc w:val="both"/>
        <w:rPr>
          <w:rFonts w:ascii="Arial" w:hAnsi="Arial" w:cs="Arial"/>
          <w:sz w:val="22"/>
          <w:szCs w:val="22"/>
        </w:rPr>
      </w:pPr>
      <w:bookmarkStart w:id="2" w:name="_Hlk154232471"/>
      <w:r w:rsidRPr="00C54171">
        <w:rPr>
          <w:rFonts w:ascii="Arial" w:hAnsi="Arial" w:cs="Arial"/>
          <w:sz w:val="22"/>
          <w:szCs w:val="22"/>
        </w:rPr>
        <w:t>3.1.1 Não será causa de inabilitação do licitante a anotação de distribuição de processo de recuperação judicial ou de pedido de homologação de recuperação extrajudicial.</w:t>
      </w:r>
    </w:p>
    <w:p w14:paraId="5FEA7EE6" w14:textId="77777777" w:rsidR="00C54171" w:rsidRPr="00C54171" w:rsidRDefault="00C54171" w:rsidP="00C54171">
      <w:pPr>
        <w:jc w:val="both"/>
        <w:rPr>
          <w:rFonts w:ascii="Arial" w:hAnsi="Arial" w:cs="Arial"/>
          <w:sz w:val="22"/>
          <w:szCs w:val="22"/>
        </w:rPr>
      </w:pPr>
    </w:p>
    <w:p w14:paraId="42132960" w14:textId="77777777" w:rsidR="00C54171" w:rsidRPr="00C54171" w:rsidRDefault="00C54171" w:rsidP="00C54171">
      <w:pPr>
        <w:jc w:val="both"/>
        <w:rPr>
          <w:rFonts w:ascii="Arial" w:hAnsi="Arial" w:cs="Arial"/>
          <w:sz w:val="22"/>
          <w:szCs w:val="22"/>
        </w:rPr>
      </w:pPr>
      <w:r w:rsidRPr="00C54171">
        <w:rPr>
          <w:rFonts w:ascii="Arial" w:hAnsi="Arial" w:cs="Arial"/>
          <w:sz w:val="22"/>
          <w:szCs w:val="22"/>
        </w:rPr>
        <w:t>3.2 Capital social compatível com o número de empregados, na forma estipulada no art. 4º-B, III, da Lei nº 6.019/1974.</w:t>
      </w:r>
    </w:p>
    <w:p w14:paraId="74273052" w14:textId="77777777" w:rsidR="00C54171" w:rsidRPr="00C54171" w:rsidRDefault="00C54171" w:rsidP="00C54171">
      <w:pPr>
        <w:jc w:val="both"/>
        <w:rPr>
          <w:rFonts w:ascii="Arial" w:hAnsi="Arial" w:cs="Arial"/>
          <w:sz w:val="22"/>
          <w:szCs w:val="22"/>
        </w:rPr>
      </w:pPr>
    </w:p>
    <w:bookmarkEnd w:id="2"/>
    <w:p w14:paraId="1E75C1F0" w14:textId="77777777" w:rsidR="00C54171" w:rsidRPr="00821F6A" w:rsidRDefault="00C54171" w:rsidP="00C54171">
      <w:pPr>
        <w:tabs>
          <w:tab w:val="left" w:pos="1440"/>
        </w:tabs>
        <w:autoSpaceDE w:val="0"/>
        <w:snapToGrid w:val="0"/>
        <w:ind w:right="565"/>
        <w:jc w:val="both"/>
        <w:rPr>
          <w:rFonts w:ascii="Arial" w:hAnsi="Arial" w:cs="Arial"/>
          <w:sz w:val="22"/>
          <w:szCs w:val="22"/>
        </w:rPr>
      </w:pPr>
      <w:r w:rsidRPr="00821F6A">
        <w:rPr>
          <w:rFonts w:ascii="Arial" w:hAnsi="Arial" w:cs="Arial"/>
          <w:sz w:val="22"/>
          <w:szCs w:val="22"/>
        </w:rPr>
        <w:t>3.3 Balanço patrimonial, demonstração de resultado de exercício e demais demonstrações contábeis dos 2 (dois) últimos exercícios sociais, vedada a sua substituição por balancetes ou balanços provisórios.</w:t>
      </w:r>
    </w:p>
    <w:p w14:paraId="269DC950" w14:textId="77777777" w:rsidR="00C54171" w:rsidRPr="00C54171" w:rsidRDefault="00C54171" w:rsidP="00C54171">
      <w:pPr>
        <w:tabs>
          <w:tab w:val="left" w:pos="1440"/>
        </w:tabs>
        <w:autoSpaceDE w:val="0"/>
        <w:snapToGrid w:val="0"/>
        <w:ind w:right="565"/>
        <w:jc w:val="both"/>
        <w:rPr>
          <w:rFonts w:ascii="Arial" w:hAnsi="Arial" w:cs="Arial"/>
          <w:color w:val="FF0000"/>
          <w:sz w:val="22"/>
          <w:szCs w:val="22"/>
        </w:rPr>
      </w:pPr>
    </w:p>
    <w:p w14:paraId="0E40D396" w14:textId="77777777" w:rsidR="00C54171" w:rsidRPr="00821F6A" w:rsidRDefault="00C54171" w:rsidP="00C54171">
      <w:pPr>
        <w:tabs>
          <w:tab w:val="left" w:pos="1440"/>
        </w:tabs>
        <w:autoSpaceDE w:val="0"/>
        <w:snapToGrid w:val="0"/>
        <w:ind w:right="565"/>
        <w:jc w:val="both"/>
        <w:rPr>
          <w:rFonts w:ascii="Arial" w:hAnsi="Arial" w:cs="Arial"/>
          <w:sz w:val="22"/>
          <w:szCs w:val="22"/>
        </w:rPr>
      </w:pPr>
      <w:r w:rsidRPr="00821F6A">
        <w:rPr>
          <w:rFonts w:ascii="Arial" w:hAnsi="Arial" w:cs="Arial"/>
          <w:sz w:val="22"/>
          <w:szCs w:val="22"/>
        </w:rPr>
        <w:lastRenderedPageBreak/>
        <w:t>3.3.1 Os documentos referidos acima limitar-se-ão ao último exercício social no caso de a pessoa jurídica ter sido constituída há menos de 2 (dois) anos.</w:t>
      </w:r>
    </w:p>
    <w:p w14:paraId="6801ECF1" w14:textId="77777777" w:rsidR="00C54171" w:rsidRPr="00821F6A" w:rsidRDefault="00C54171" w:rsidP="00C54171">
      <w:pPr>
        <w:tabs>
          <w:tab w:val="left" w:pos="1440"/>
        </w:tabs>
        <w:autoSpaceDE w:val="0"/>
        <w:snapToGrid w:val="0"/>
        <w:ind w:right="565"/>
        <w:jc w:val="both"/>
        <w:rPr>
          <w:rFonts w:ascii="Arial" w:hAnsi="Arial" w:cs="Arial"/>
          <w:sz w:val="22"/>
          <w:szCs w:val="22"/>
        </w:rPr>
      </w:pPr>
    </w:p>
    <w:p w14:paraId="2CEBD662" w14:textId="77777777" w:rsidR="00C54171" w:rsidRPr="00821F6A" w:rsidRDefault="00C54171" w:rsidP="00C54171">
      <w:pPr>
        <w:tabs>
          <w:tab w:val="left" w:pos="1440"/>
        </w:tabs>
        <w:autoSpaceDE w:val="0"/>
        <w:snapToGrid w:val="0"/>
        <w:ind w:right="565"/>
        <w:jc w:val="both"/>
        <w:rPr>
          <w:rFonts w:ascii="Arial" w:hAnsi="Arial" w:cs="Arial"/>
          <w:sz w:val="22"/>
          <w:szCs w:val="22"/>
        </w:rPr>
      </w:pPr>
      <w:r w:rsidRPr="00821F6A">
        <w:rPr>
          <w:rFonts w:ascii="Arial" w:hAnsi="Arial" w:cs="Arial"/>
          <w:sz w:val="22"/>
          <w:szCs w:val="22"/>
        </w:rPr>
        <w:t>3.3.2 Os fornecedores criados no exercício financeiro da contratação deverão atender a todas as exigências da habilitação e ficam autorizados a substituir os demonstrativos contábeis pelo balanço de abertura;</w:t>
      </w:r>
    </w:p>
    <w:p w14:paraId="6E8C389A" w14:textId="77777777" w:rsidR="00C54171" w:rsidRPr="00821F6A" w:rsidRDefault="00C54171" w:rsidP="00C54171">
      <w:pPr>
        <w:ind w:right="565"/>
        <w:jc w:val="both"/>
        <w:rPr>
          <w:rFonts w:ascii="Arial" w:hAnsi="Arial" w:cs="Arial"/>
          <w:sz w:val="22"/>
          <w:szCs w:val="22"/>
        </w:rPr>
      </w:pPr>
    </w:p>
    <w:p w14:paraId="14646555" w14:textId="77777777" w:rsidR="00C54171" w:rsidRPr="00821F6A" w:rsidRDefault="00C54171" w:rsidP="00C54171">
      <w:pPr>
        <w:ind w:right="565"/>
        <w:jc w:val="both"/>
        <w:rPr>
          <w:rFonts w:ascii="Arial" w:hAnsi="Arial" w:cs="Arial"/>
          <w:sz w:val="22"/>
          <w:szCs w:val="22"/>
        </w:rPr>
      </w:pPr>
      <w:r w:rsidRPr="00821F6A">
        <w:rPr>
          <w:rFonts w:ascii="Arial" w:hAnsi="Arial" w:cs="Arial"/>
          <w:sz w:val="22"/>
          <w:szCs w:val="22"/>
        </w:rPr>
        <w:t>3.3.2.1</w:t>
      </w:r>
      <w:r w:rsidRPr="00821F6A">
        <w:rPr>
          <w:rFonts w:ascii="Arial" w:eastAsia="Arial" w:hAnsi="Arial" w:cs="Arial"/>
          <w:sz w:val="22"/>
          <w:szCs w:val="22"/>
        </w:rPr>
        <w:t xml:space="preserve"> Poderá ser apresentado o balanço intermediário, caso autorizado por lei ou pelo contrato/estatuto social.</w:t>
      </w:r>
    </w:p>
    <w:p w14:paraId="6A902B3E" w14:textId="77777777" w:rsidR="00C54171" w:rsidRPr="00821F6A" w:rsidRDefault="00C54171" w:rsidP="00C54171">
      <w:pPr>
        <w:ind w:right="565"/>
        <w:jc w:val="both"/>
        <w:rPr>
          <w:rFonts w:ascii="Arial" w:hAnsi="Arial" w:cs="Arial"/>
          <w:sz w:val="22"/>
          <w:szCs w:val="22"/>
        </w:rPr>
      </w:pPr>
    </w:p>
    <w:p w14:paraId="37D7E0A9" w14:textId="77777777" w:rsidR="00C54171" w:rsidRPr="00821F6A" w:rsidRDefault="00C54171" w:rsidP="00C54171">
      <w:pPr>
        <w:ind w:right="565"/>
        <w:jc w:val="both"/>
        <w:rPr>
          <w:rFonts w:ascii="Arial" w:hAnsi="Arial" w:cs="Arial"/>
          <w:sz w:val="22"/>
          <w:szCs w:val="22"/>
        </w:rPr>
      </w:pPr>
      <w:r w:rsidRPr="00821F6A">
        <w:rPr>
          <w:rFonts w:ascii="Arial" w:hAnsi="Arial" w:cs="Arial"/>
          <w:sz w:val="22"/>
          <w:szCs w:val="22"/>
        </w:rPr>
        <w:t xml:space="preserve">3.3.3 Caso o fornecedor seja cooperativa, </w:t>
      </w:r>
      <w:r w:rsidRPr="00821F6A">
        <w:rPr>
          <w:rFonts w:ascii="Arial" w:eastAsia="Arial" w:hAnsi="Arial" w:cs="Arial"/>
          <w:sz w:val="22"/>
          <w:szCs w:val="22"/>
        </w:rPr>
        <w:t>o balanço e as demais demonstrações contáveis deverão ser acompanhados de cópia do parecer da última auditoria contábil-financeira, conforme dispõe o</w:t>
      </w:r>
      <w:hyperlink r:id="rId8" w:anchor=":~:text=LEI%20N%C2%BA%205.764%2C%20DE%2016,cooperativas%2C%20e%20d%C3%A1%20outras%20provid%C3%AAncias">
        <w:r w:rsidRPr="00821F6A">
          <w:rPr>
            <w:rFonts w:ascii="Arial" w:eastAsia="Arial" w:hAnsi="Arial" w:cs="Arial"/>
            <w:sz w:val="22"/>
            <w:szCs w:val="22"/>
          </w:rPr>
          <w:t xml:space="preserve"> </w:t>
        </w:r>
      </w:hyperlink>
      <w:hyperlink r:id="rId9" w:anchor=":~:text=LEI%20N%C2%BA%205.764%2C%20DE%2016,cooperativas%2C%20e%20d%C3%A1%20outras%20provid%C3%AAncias">
        <w:r w:rsidRPr="00821F6A">
          <w:rPr>
            <w:rFonts w:ascii="Arial" w:eastAsia="Arial" w:hAnsi="Arial" w:cs="Arial"/>
            <w:sz w:val="22"/>
            <w:szCs w:val="22"/>
          </w:rPr>
          <w:t>art. 112 da Lei nº 5.764/1971</w:t>
        </w:r>
      </w:hyperlink>
      <w:r w:rsidRPr="00821F6A">
        <w:rPr>
          <w:rFonts w:ascii="Arial" w:eastAsia="Arial" w:hAnsi="Arial" w:cs="Arial"/>
          <w:sz w:val="22"/>
          <w:szCs w:val="22"/>
        </w:rPr>
        <w:t>, ou de uma declaração, sob as penas da lei, de que tal auditoria não foi exigida pelo órgão fiscalizador.</w:t>
      </w:r>
    </w:p>
    <w:p w14:paraId="6FD285E3" w14:textId="77777777" w:rsidR="00C54171" w:rsidRPr="00821F6A" w:rsidRDefault="00C54171" w:rsidP="00C54171">
      <w:pPr>
        <w:pStyle w:val="Nivel4"/>
        <w:spacing w:before="0" w:after="0" w:line="240" w:lineRule="auto"/>
        <w:ind w:left="0" w:right="565"/>
        <w:rPr>
          <w:iCs/>
          <w:sz w:val="22"/>
          <w:szCs w:val="22"/>
        </w:rPr>
      </w:pPr>
    </w:p>
    <w:p w14:paraId="7A675524" w14:textId="77777777" w:rsidR="00C54171" w:rsidRPr="00821F6A" w:rsidRDefault="00C54171" w:rsidP="00C54171">
      <w:pPr>
        <w:tabs>
          <w:tab w:val="left" w:pos="1440"/>
        </w:tabs>
        <w:autoSpaceDE w:val="0"/>
        <w:snapToGrid w:val="0"/>
        <w:ind w:right="565"/>
        <w:jc w:val="both"/>
        <w:rPr>
          <w:rFonts w:ascii="Arial" w:hAnsi="Arial" w:cs="Arial"/>
          <w:sz w:val="22"/>
          <w:szCs w:val="22"/>
        </w:rPr>
      </w:pPr>
      <w:r w:rsidRPr="00821F6A">
        <w:rPr>
          <w:rFonts w:ascii="Arial" w:hAnsi="Arial" w:cs="Arial"/>
          <w:sz w:val="22"/>
          <w:szCs w:val="22"/>
        </w:rPr>
        <w:t>3.3.4 Para fins de habilitação econômico-financeira de sociedade empresária em recuperação judicial deverão ser considerados os valores constantes no Plano de Recuperação Judicial, homologado pelo Juízo competente, para fins de apuração dos índices contábeis previstos no edital.</w:t>
      </w:r>
    </w:p>
    <w:p w14:paraId="693A33B2" w14:textId="77777777" w:rsidR="00C54171" w:rsidRPr="00821F6A" w:rsidRDefault="00C54171" w:rsidP="00C54171">
      <w:pPr>
        <w:tabs>
          <w:tab w:val="left" w:pos="1440"/>
        </w:tabs>
        <w:autoSpaceDE w:val="0"/>
        <w:snapToGrid w:val="0"/>
        <w:ind w:right="565"/>
        <w:jc w:val="both"/>
        <w:rPr>
          <w:rFonts w:ascii="Arial" w:hAnsi="Arial" w:cs="Arial"/>
          <w:sz w:val="22"/>
          <w:szCs w:val="22"/>
        </w:rPr>
      </w:pPr>
    </w:p>
    <w:p w14:paraId="78DE29F9" w14:textId="77777777" w:rsidR="00C54171" w:rsidRPr="00821F6A" w:rsidRDefault="00C54171" w:rsidP="00C54171">
      <w:pPr>
        <w:tabs>
          <w:tab w:val="left" w:pos="1440"/>
        </w:tabs>
        <w:autoSpaceDE w:val="0"/>
        <w:snapToGrid w:val="0"/>
        <w:ind w:right="565"/>
        <w:jc w:val="both"/>
        <w:rPr>
          <w:rFonts w:ascii="Arial" w:hAnsi="Arial" w:cs="Arial"/>
          <w:sz w:val="22"/>
          <w:szCs w:val="22"/>
        </w:rPr>
      </w:pPr>
      <w:r w:rsidRPr="00821F6A">
        <w:rPr>
          <w:rFonts w:ascii="Arial" w:hAnsi="Arial" w:cs="Arial"/>
          <w:sz w:val="22"/>
          <w:szCs w:val="22"/>
        </w:rPr>
        <w:t xml:space="preserve">3.4 Comprovação da boa situação financeira da empresa mediante obtenção de índices de Liquidez Geral (LG), Solvência Geral (SG) e Liquidez Corrente (LC), iguais ou superiores a 1 (um), obtidos pela aplicação das seguintes fórmulas: </w:t>
      </w:r>
    </w:p>
    <w:p w14:paraId="7DFD2E63" w14:textId="77777777" w:rsidR="00C54171" w:rsidRPr="00821F6A" w:rsidRDefault="00C54171" w:rsidP="00C54171">
      <w:pPr>
        <w:tabs>
          <w:tab w:val="left" w:pos="1440"/>
        </w:tabs>
        <w:autoSpaceDE w:val="0"/>
        <w:snapToGrid w:val="0"/>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4252"/>
      </w:tblGrid>
      <w:tr w:rsidR="00821F6A" w:rsidRPr="00821F6A" w14:paraId="60FB9FF5" w14:textId="77777777" w:rsidTr="00287A3B">
        <w:tc>
          <w:tcPr>
            <w:tcW w:w="2235" w:type="dxa"/>
            <w:vMerge w:val="restart"/>
            <w:vAlign w:val="center"/>
          </w:tcPr>
          <w:p w14:paraId="74E992C2"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r w:rsidRPr="00821F6A">
              <w:rPr>
                <w:rFonts w:ascii="Arial" w:eastAsia="Calibri" w:hAnsi="Arial" w:cs="Arial"/>
                <w:sz w:val="22"/>
                <w:szCs w:val="22"/>
              </w:rPr>
              <w:t>LG =</w:t>
            </w:r>
          </w:p>
        </w:tc>
        <w:tc>
          <w:tcPr>
            <w:tcW w:w="4252" w:type="dxa"/>
            <w:tcBorders>
              <w:bottom w:val="single" w:sz="4" w:space="0" w:color="auto"/>
            </w:tcBorders>
            <w:vAlign w:val="bottom"/>
          </w:tcPr>
          <w:p w14:paraId="3FB013FD"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r w:rsidRPr="00821F6A">
              <w:rPr>
                <w:rFonts w:ascii="Arial" w:eastAsia="Calibri" w:hAnsi="Arial" w:cs="Arial"/>
                <w:sz w:val="22"/>
                <w:szCs w:val="22"/>
              </w:rPr>
              <w:t>Ativo Circulante + Realizável a Longo Prazo</w:t>
            </w:r>
          </w:p>
        </w:tc>
      </w:tr>
      <w:tr w:rsidR="00821F6A" w:rsidRPr="00821F6A" w14:paraId="39D07427" w14:textId="77777777" w:rsidTr="00287A3B">
        <w:tc>
          <w:tcPr>
            <w:tcW w:w="2235" w:type="dxa"/>
            <w:vMerge/>
          </w:tcPr>
          <w:p w14:paraId="30346C0C"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p>
        </w:tc>
        <w:tc>
          <w:tcPr>
            <w:tcW w:w="4252" w:type="dxa"/>
            <w:tcBorders>
              <w:top w:val="single" w:sz="4" w:space="0" w:color="auto"/>
            </w:tcBorders>
          </w:tcPr>
          <w:p w14:paraId="6621CD5E" w14:textId="77777777" w:rsidR="00C54171" w:rsidRPr="00821F6A" w:rsidRDefault="00C54171" w:rsidP="00C54171">
            <w:pPr>
              <w:tabs>
                <w:tab w:val="left" w:pos="1440"/>
              </w:tabs>
              <w:autoSpaceDE w:val="0"/>
              <w:snapToGrid w:val="0"/>
              <w:spacing w:before="100" w:beforeAutospacing="1" w:after="100" w:afterAutospacing="1"/>
              <w:ind w:left="567" w:right="565"/>
              <w:jc w:val="both"/>
              <w:rPr>
                <w:rFonts w:ascii="Arial" w:eastAsia="Calibri" w:hAnsi="Arial" w:cs="Arial"/>
                <w:sz w:val="22"/>
                <w:szCs w:val="22"/>
              </w:rPr>
            </w:pPr>
            <w:r w:rsidRPr="00821F6A">
              <w:rPr>
                <w:rFonts w:ascii="Arial" w:eastAsia="Calibri" w:hAnsi="Arial" w:cs="Arial"/>
                <w:sz w:val="22"/>
                <w:szCs w:val="22"/>
              </w:rPr>
              <w:t>Passivo Circulante + Passivo Não Circulante</w:t>
            </w:r>
          </w:p>
        </w:tc>
      </w:tr>
    </w:tbl>
    <w:p w14:paraId="0D04D051" w14:textId="77777777" w:rsidR="00C54171" w:rsidRPr="00C54171" w:rsidRDefault="00C54171" w:rsidP="00C54171">
      <w:pPr>
        <w:tabs>
          <w:tab w:val="left" w:pos="1440"/>
        </w:tabs>
        <w:autoSpaceDE w:val="0"/>
        <w:snapToGrid w:val="0"/>
        <w:ind w:left="567" w:right="565"/>
        <w:jc w:val="both"/>
        <w:rPr>
          <w:rFonts w:ascii="Arial" w:hAnsi="Arial" w:cs="Arial"/>
          <w:color w:val="FF0000"/>
          <w:sz w:val="22"/>
          <w:szCs w:val="22"/>
        </w:rPr>
      </w:pPr>
    </w:p>
    <w:tbl>
      <w:tblPr>
        <w:tblW w:w="0" w:type="auto"/>
        <w:tblInd w:w="1134" w:type="dxa"/>
        <w:tblLook w:val="04A0" w:firstRow="1" w:lastRow="0" w:firstColumn="1" w:lastColumn="0" w:noHBand="0" w:noVBand="1"/>
      </w:tblPr>
      <w:tblGrid>
        <w:gridCol w:w="2235"/>
        <w:gridCol w:w="4394"/>
      </w:tblGrid>
      <w:tr w:rsidR="00821F6A" w:rsidRPr="00821F6A" w14:paraId="5F752A3A" w14:textId="77777777" w:rsidTr="00287A3B">
        <w:trPr>
          <w:cantSplit/>
        </w:trPr>
        <w:tc>
          <w:tcPr>
            <w:tcW w:w="2235" w:type="dxa"/>
            <w:vMerge w:val="restart"/>
            <w:vAlign w:val="center"/>
          </w:tcPr>
          <w:p w14:paraId="0CB8663B"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r w:rsidRPr="00821F6A">
              <w:rPr>
                <w:rFonts w:ascii="Arial" w:eastAsia="Calibri" w:hAnsi="Arial" w:cs="Arial"/>
                <w:sz w:val="22"/>
                <w:szCs w:val="22"/>
              </w:rPr>
              <w:t>SG =</w:t>
            </w:r>
          </w:p>
        </w:tc>
        <w:tc>
          <w:tcPr>
            <w:tcW w:w="4394" w:type="dxa"/>
            <w:tcBorders>
              <w:bottom w:val="single" w:sz="4" w:space="0" w:color="auto"/>
            </w:tcBorders>
            <w:vAlign w:val="bottom"/>
          </w:tcPr>
          <w:p w14:paraId="19369EC2"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r w:rsidRPr="00821F6A">
              <w:rPr>
                <w:rFonts w:ascii="Arial" w:eastAsia="Calibri" w:hAnsi="Arial" w:cs="Arial"/>
                <w:sz w:val="22"/>
                <w:szCs w:val="22"/>
              </w:rPr>
              <w:t>Ativo Total</w:t>
            </w:r>
          </w:p>
        </w:tc>
      </w:tr>
      <w:tr w:rsidR="00C54171" w:rsidRPr="00821F6A" w14:paraId="1C0E82B4" w14:textId="77777777" w:rsidTr="00287A3B">
        <w:trPr>
          <w:cantSplit/>
        </w:trPr>
        <w:tc>
          <w:tcPr>
            <w:tcW w:w="2235" w:type="dxa"/>
            <w:vMerge/>
          </w:tcPr>
          <w:p w14:paraId="2CE1E44A"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p>
        </w:tc>
        <w:tc>
          <w:tcPr>
            <w:tcW w:w="4394" w:type="dxa"/>
            <w:tcBorders>
              <w:top w:val="single" w:sz="4" w:space="0" w:color="auto"/>
            </w:tcBorders>
          </w:tcPr>
          <w:p w14:paraId="70FFAFF7" w14:textId="77777777" w:rsidR="00C54171" w:rsidRPr="00821F6A" w:rsidRDefault="00C54171" w:rsidP="00C54171">
            <w:pPr>
              <w:tabs>
                <w:tab w:val="left" w:pos="1440"/>
              </w:tabs>
              <w:autoSpaceDE w:val="0"/>
              <w:snapToGrid w:val="0"/>
              <w:spacing w:before="100" w:beforeAutospacing="1" w:after="100" w:afterAutospacing="1"/>
              <w:ind w:left="567" w:right="565"/>
              <w:jc w:val="both"/>
              <w:rPr>
                <w:rFonts w:ascii="Arial" w:eastAsia="Calibri" w:hAnsi="Arial" w:cs="Arial"/>
                <w:sz w:val="22"/>
                <w:szCs w:val="22"/>
              </w:rPr>
            </w:pPr>
            <w:r w:rsidRPr="00821F6A">
              <w:rPr>
                <w:rFonts w:ascii="Arial" w:eastAsia="Calibri" w:hAnsi="Arial" w:cs="Arial"/>
                <w:sz w:val="22"/>
                <w:szCs w:val="22"/>
              </w:rPr>
              <w:t>Passivo Circulante + Passivo Não Circulante</w:t>
            </w:r>
          </w:p>
        </w:tc>
      </w:tr>
    </w:tbl>
    <w:p w14:paraId="73B9037C" w14:textId="77777777" w:rsidR="00C54171" w:rsidRPr="00821F6A" w:rsidRDefault="00C54171" w:rsidP="00C54171">
      <w:pPr>
        <w:tabs>
          <w:tab w:val="left" w:pos="1440"/>
        </w:tabs>
        <w:autoSpaceDE w:val="0"/>
        <w:snapToGrid w:val="0"/>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2551"/>
      </w:tblGrid>
      <w:tr w:rsidR="00821F6A" w:rsidRPr="00821F6A" w14:paraId="2A00DB65" w14:textId="77777777" w:rsidTr="00287A3B">
        <w:tc>
          <w:tcPr>
            <w:tcW w:w="2235" w:type="dxa"/>
            <w:vMerge w:val="restart"/>
            <w:vAlign w:val="center"/>
          </w:tcPr>
          <w:p w14:paraId="1BC7B2EC"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r w:rsidRPr="00821F6A">
              <w:rPr>
                <w:rFonts w:ascii="Arial" w:eastAsia="Calibri" w:hAnsi="Arial" w:cs="Arial"/>
                <w:sz w:val="22"/>
                <w:szCs w:val="22"/>
              </w:rPr>
              <w:t>LC =</w:t>
            </w:r>
          </w:p>
        </w:tc>
        <w:tc>
          <w:tcPr>
            <w:tcW w:w="2551" w:type="dxa"/>
            <w:tcBorders>
              <w:bottom w:val="single" w:sz="4" w:space="0" w:color="auto"/>
            </w:tcBorders>
            <w:vAlign w:val="bottom"/>
          </w:tcPr>
          <w:p w14:paraId="5727B969"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r w:rsidRPr="00821F6A">
              <w:rPr>
                <w:rFonts w:ascii="Arial" w:eastAsia="Calibri" w:hAnsi="Arial" w:cs="Arial"/>
                <w:sz w:val="22"/>
                <w:szCs w:val="22"/>
              </w:rPr>
              <w:t>Ativo Circulante</w:t>
            </w:r>
          </w:p>
        </w:tc>
      </w:tr>
      <w:tr w:rsidR="00C54171" w:rsidRPr="00821F6A" w14:paraId="36C2AEEE" w14:textId="77777777" w:rsidTr="00287A3B">
        <w:tc>
          <w:tcPr>
            <w:tcW w:w="2235" w:type="dxa"/>
            <w:vMerge/>
          </w:tcPr>
          <w:p w14:paraId="7DED7AE5" w14:textId="77777777" w:rsidR="00C54171" w:rsidRPr="00821F6A" w:rsidRDefault="00C54171" w:rsidP="00C54171">
            <w:pPr>
              <w:tabs>
                <w:tab w:val="left" w:pos="1440"/>
              </w:tabs>
              <w:autoSpaceDE w:val="0"/>
              <w:snapToGrid w:val="0"/>
              <w:ind w:left="567" w:right="565"/>
              <w:jc w:val="both"/>
              <w:rPr>
                <w:rFonts w:ascii="Arial" w:eastAsia="Calibri" w:hAnsi="Arial" w:cs="Arial"/>
                <w:sz w:val="22"/>
                <w:szCs w:val="22"/>
              </w:rPr>
            </w:pPr>
          </w:p>
        </w:tc>
        <w:tc>
          <w:tcPr>
            <w:tcW w:w="2551" w:type="dxa"/>
            <w:tcBorders>
              <w:top w:val="single" w:sz="4" w:space="0" w:color="auto"/>
            </w:tcBorders>
          </w:tcPr>
          <w:p w14:paraId="1A908ECB" w14:textId="77777777" w:rsidR="00C54171" w:rsidRPr="00821F6A" w:rsidRDefault="00C54171" w:rsidP="00C54171">
            <w:pPr>
              <w:tabs>
                <w:tab w:val="left" w:pos="1440"/>
              </w:tabs>
              <w:autoSpaceDE w:val="0"/>
              <w:snapToGrid w:val="0"/>
              <w:spacing w:before="100" w:beforeAutospacing="1" w:after="100" w:afterAutospacing="1"/>
              <w:ind w:left="567" w:right="565"/>
              <w:jc w:val="both"/>
              <w:rPr>
                <w:rFonts w:ascii="Arial" w:eastAsia="Calibri" w:hAnsi="Arial" w:cs="Arial"/>
                <w:sz w:val="22"/>
                <w:szCs w:val="22"/>
              </w:rPr>
            </w:pPr>
            <w:r w:rsidRPr="00821F6A">
              <w:rPr>
                <w:rFonts w:ascii="Arial" w:eastAsia="Calibri" w:hAnsi="Arial" w:cs="Arial"/>
                <w:sz w:val="22"/>
                <w:szCs w:val="22"/>
              </w:rPr>
              <w:t>Passivo Circulante</w:t>
            </w:r>
          </w:p>
        </w:tc>
      </w:tr>
    </w:tbl>
    <w:p w14:paraId="65BDA83E" w14:textId="77777777" w:rsidR="00C54171" w:rsidRPr="00821F6A" w:rsidRDefault="00C54171" w:rsidP="00C54171">
      <w:pPr>
        <w:pStyle w:val="pf0"/>
        <w:spacing w:before="0" w:beforeAutospacing="0" w:after="0" w:afterAutospacing="0"/>
        <w:ind w:left="567" w:right="565"/>
        <w:jc w:val="both"/>
        <w:rPr>
          <w:rFonts w:ascii="Arial" w:hAnsi="Arial" w:cs="Arial"/>
          <w:sz w:val="22"/>
          <w:szCs w:val="22"/>
        </w:rPr>
      </w:pPr>
    </w:p>
    <w:p w14:paraId="37EC2CD0" w14:textId="77777777" w:rsidR="00C54171" w:rsidRPr="00821F6A" w:rsidRDefault="00C54171" w:rsidP="00C54171">
      <w:pPr>
        <w:pStyle w:val="pf0"/>
        <w:spacing w:before="0" w:beforeAutospacing="0" w:after="0" w:afterAutospacing="0"/>
        <w:ind w:right="565"/>
        <w:jc w:val="both"/>
        <w:rPr>
          <w:rFonts w:ascii="Arial" w:hAnsi="Arial" w:cs="Arial"/>
          <w:sz w:val="22"/>
          <w:szCs w:val="22"/>
        </w:rPr>
      </w:pPr>
      <w:r w:rsidRPr="00821F6A">
        <w:rPr>
          <w:rFonts w:ascii="Arial" w:hAnsi="Arial" w:cs="Arial"/>
          <w:sz w:val="22"/>
          <w:szCs w:val="22"/>
        </w:rPr>
        <w:t>3.4.1 Caso seja apresentado resultado inferior ou igual a 1(um) em qualquer dos índices de Liquidez Geral (LG), Solvência Geral (SG) e Liquidez Corrente (LC), deverá ser comprovado capital ou patrimônio líquido mínimo de 10% (dez por cento) do valor total estimado da contratação ou do item pertinente.</w:t>
      </w:r>
    </w:p>
    <w:p w14:paraId="7A7FFCAE" w14:textId="77777777" w:rsidR="00C54171" w:rsidRPr="00821F6A" w:rsidRDefault="00C54171" w:rsidP="00C54171">
      <w:pPr>
        <w:pStyle w:val="pf0"/>
        <w:spacing w:before="0" w:beforeAutospacing="0" w:after="0" w:afterAutospacing="0"/>
        <w:ind w:left="567" w:right="565"/>
        <w:jc w:val="both"/>
        <w:rPr>
          <w:rFonts w:ascii="Arial" w:hAnsi="Arial" w:cs="Arial"/>
          <w:sz w:val="22"/>
          <w:szCs w:val="22"/>
        </w:rPr>
      </w:pPr>
    </w:p>
    <w:p w14:paraId="1B0D863D" w14:textId="77777777" w:rsidR="00C54171" w:rsidRPr="00821F6A" w:rsidRDefault="00C54171" w:rsidP="00C54171">
      <w:pPr>
        <w:pStyle w:val="pf0"/>
        <w:spacing w:before="0" w:beforeAutospacing="0" w:after="0" w:afterAutospacing="0"/>
        <w:ind w:left="567" w:right="565"/>
        <w:jc w:val="both"/>
        <w:rPr>
          <w:rStyle w:val="cf11"/>
          <w:rFonts w:ascii="Arial" w:hAnsi="Arial" w:cs="Arial"/>
          <w:i w:val="0"/>
          <w:iCs w:val="0"/>
          <w:sz w:val="22"/>
          <w:szCs w:val="22"/>
        </w:rPr>
      </w:pPr>
    </w:p>
    <w:p w14:paraId="70E3A2B5" w14:textId="77777777" w:rsidR="00C54171" w:rsidRPr="00821F6A" w:rsidRDefault="00C54171" w:rsidP="00C54171">
      <w:pPr>
        <w:pStyle w:val="pf0"/>
        <w:spacing w:before="0" w:beforeAutospacing="0" w:after="0" w:afterAutospacing="0"/>
        <w:ind w:right="565"/>
        <w:contextualSpacing/>
        <w:jc w:val="both"/>
        <w:rPr>
          <w:rFonts w:ascii="Arial" w:hAnsi="Arial" w:cs="Arial"/>
          <w:sz w:val="22"/>
          <w:szCs w:val="22"/>
          <w:lang w:eastAsia="en-US"/>
        </w:rPr>
      </w:pPr>
      <w:r w:rsidRPr="00821F6A">
        <w:rPr>
          <w:rFonts w:ascii="Arial" w:hAnsi="Arial" w:cs="Arial"/>
          <w:sz w:val="22"/>
          <w:szCs w:val="22"/>
          <w:lang w:eastAsia="en-US"/>
        </w:rPr>
        <w:t>3.4.2 O atendimento dos índices econômicos previstos neste item deverá ser atestado mediante declaração assinada por profissional habilitado da área contábil, apresentada pelo fornecedor.</w:t>
      </w:r>
    </w:p>
    <w:p w14:paraId="67E5DDB5" w14:textId="77777777" w:rsidR="00C54171" w:rsidRPr="00821F6A" w:rsidRDefault="00C54171" w:rsidP="00C54171">
      <w:pPr>
        <w:pStyle w:val="pf0"/>
        <w:spacing w:before="0" w:beforeAutospacing="0" w:after="0" w:afterAutospacing="0"/>
        <w:ind w:right="565"/>
        <w:jc w:val="both"/>
        <w:rPr>
          <w:rFonts w:ascii="Arial" w:hAnsi="Arial" w:cs="Arial"/>
          <w:sz w:val="22"/>
          <w:szCs w:val="22"/>
          <w:lang w:eastAsia="en-US"/>
        </w:rPr>
      </w:pPr>
    </w:p>
    <w:p w14:paraId="78774E94" w14:textId="77777777" w:rsidR="00C54171" w:rsidRPr="00C54171" w:rsidRDefault="00C54171" w:rsidP="00C54171">
      <w:pPr>
        <w:pStyle w:val="pf0"/>
        <w:spacing w:before="0" w:beforeAutospacing="0" w:after="0" w:afterAutospacing="0"/>
        <w:contextualSpacing/>
        <w:jc w:val="both"/>
        <w:rPr>
          <w:rFonts w:ascii="Arial" w:hAnsi="Arial" w:cs="Arial"/>
          <w:iCs/>
          <w:color w:val="FF0000"/>
          <w:sz w:val="22"/>
          <w:szCs w:val="22"/>
        </w:rPr>
      </w:pPr>
    </w:p>
    <w:p w14:paraId="140E7E34" w14:textId="77777777" w:rsidR="00C54171" w:rsidRPr="00C54171" w:rsidRDefault="00C54171" w:rsidP="00C54171">
      <w:pPr>
        <w:pStyle w:val="pf0"/>
        <w:spacing w:before="0" w:beforeAutospacing="0" w:after="0" w:afterAutospacing="0"/>
        <w:contextualSpacing/>
        <w:jc w:val="both"/>
        <w:rPr>
          <w:rFonts w:ascii="Arial" w:hAnsi="Arial" w:cs="Arial"/>
          <w:b/>
          <w:bCs/>
          <w:sz w:val="22"/>
          <w:szCs w:val="22"/>
        </w:rPr>
      </w:pPr>
      <w:r w:rsidRPr="00C54171">
        <w:rPr>
          <w:rFonts w:ascii="Arial" w:hAnsi="Arial" w:cs="Arial"/>
          <w:b/>
          <w:bCs/>
          <w:sz w:val="22"/>
          <w:szCs w:val="22"/>
        </w:rPr>
        <w:t>4. HABILITAÇÃO TÉCNICA</w:t>
      </w:r>
    </w:p>
    <w:p w14:paraId="0B0C3CE1" w14:textId="77777777" w:rsidR="00C54171" w:rsidRPr="00C54171" w:rsidRDefault="00C54171" w:rsidP="00C54171">
      <w:pPr>
        <w:pStyle w:val="pf0"/>
        <w:spacing w:before="0" w:beforeAutospacing="0" w:after="0" w:afterAutospacing="0"/>
        <w:contextualSpacing/>
        <w:jc w:val="both"/>
        <w:rPr>
          <w:rFonts w:ascii="Arial" w:hAnsi="Arial" w:cs="Arial"/>
          <w:b/>
          <w:bCs/>
          <w:sz w:val="22"/>
          <w:szCs w:val="22"/>
        </w:rPr>
      </w:pPr>
    </w:p>
    <w:p w14:paraId="4BA6D647" w14:textId="683DF399" w:rsidR="00821F6A" w:rsidRPr="00821F6A" w:rsidRDefault="00C54171" w:rsidP="00821F6A">
      <w:pPr>
        <w:pStyle w:val="PADRO"/>
        <w:keepNext w:val="0"/>
        <w:widowControl/>
        <w:spacing w:before="0" w:after="0" w:line="240" w:lineRule="auto"/>
        <w:ind w:firstLine="0"/>
        <w:contextualSpacing/>
        <w:rPr>
          <w:rFonts w:ascii="Arial" w:hAnsi="Arial" w:cs="Arial"/>
          <w:bCs/>
          <w:sz w:val="22"/>
          <w:szCs w:val="22"/>
        </w:rPr>
      </w:pPr>
      <w:bookmarkStart w:id="3" w:name="_Hlk154233180"/>
      <w:r w:rsidRPr="00C54171">
        <w:rPr>
          <w:rFonts w:ascii="Arial" w:hAnsi="Arial" w:cs="Arial"/>
          <w:sz w:val="22"/>
          <w:szCs w:val="22"/>
        </w:rPr>
        <w:t>4.1</w:t>
      </w:r>
      <w:bookmarkEnd w:id="3"/>
      <w:r w:rsidR="00821F6A">
        <w:rPr>
          <w:rFonts w:ascii="Arial" w:hAnsi="Arial" w:cs="Arial"/>
          <w:sz w:val="22"/>
          <w:szCs w:val="22"/>
        </w:rPr>
        <w:t xml:space="preserve"> </w:t>
      </w:r>
      <w:r w:rsidR="00821F6A" w:rsidRPr="00821F6A">
        <w:rPr>
          <w:rFonts w:ascii="Arial" w:hAnsi="Arial" w:cs="Arial"/>
          <w:b/>
          <w:bCs/>
          <w:sz w:val="22"/>
          <w:szCs w:val="22"/>
        </w:rPr>
        <w:t>A documentação relativa à qualificação técnica está prevista no Art. 67, inciso II, §§ 1º e 2º da Lei14.133/2021, conforme abaixo:</w:t>
      </w:r>
    </w:p>
    <w:p w14:paraId="5A773B7B" w14:textId="77777777" w:rsidR="00821F6A" w:rsidRPr="00821F6A" w:rsidRDefault="00821F6A" w:rsidP="00821F6A">
      <w:pPr>
        <w:ind w:right="565"/>
        <w:contextualSpacing/>
        <w:jc w:val="both"/>
        <w:rPr>
          <w:rFonts w:ascii="Arial" w:eastAsia="WenQuanYi Micro Hei" w:hAnsi="Arial" w:cs="Arial"/>
          <w:b/>
          <w:bCs/>
          <w:sz w:val="22"/>
          <w:szCs w:val="22"/>
          <w:lang w:eastAsia="zh-CN" w:bidi="hi-IN"/>
        </w:rPr>
      </w:pPr>
    </w:p>
    <w:p w14:paraId="2B31C7C9" w14:textId="232D2BF7" w:rsidR="00821F6A" w:rsidRPr="00821F6A" w:rsidRDefault="00821F6A" w:rsidP="00821F6A">
      <w:pPr>
        <w:ind w:right="565"/>
        <w:contextualSpacing/>
        <w:jc w:val="both"/>
        <w:rPr>
          <w:rFonts w:ascii="Arial" w:eastAsia="WenQuanYi Micro Hei" w:hAnsi="Arial" w:cs="Arial"/>
          <w:b/>
          <w:bCs/>
          <w:sz w:val="22"/>
          <w:szCs w:val="22"/>
          <w:lang w:eastAsia="zh-CN" w:bidi="hi-IN"/>
        </w:rPr>
      </w:pPr>
      <w:r w:rsidRPr="00821F6A">
        <w:rPr>
          <w:rFonts w:ascii="Arial" w:eastAsia="WenQuanYi Micro Hei" w:hAnsi="Arial" w:cs="Arial"/>
          <w:b/>
          <w:bCs/>
          <w:sz w:val="22"/>
          <w:szCs w:val="22"/>
          <w:lang w:eastAsia="zh-CN" w:bidi="hi-IN"/>
        </w:rPr>
        <w:t xml:space="preserve">II - </w:t>
      </w:r>
      <w:r w:rsidRPr="00821F6A">
        <w:rPr>
          <w:rFonts w:ascii="Arial" w:eastAsia="WenQuanYi Micro Hei" w:hAnsi="Arial" w:cs="Arial"/>
          <w:b/>
          <w:bCs/>
          <w:sz w:val="22"/>
          <w:szCs w:val="22"/>
          <w:lang w:eastAsia="zh-CN" w:bidi="hi-IN"/>
        </w:rPr>
        <w:t>Certidões ou atestados</w:t>
      </w:r>
      <w:r w:rsidRPr="00821F6A">
        <w:rPr>
          <w:rFonts w:ascii="Arial" w:eastAsia="WenQuanYi Micro Hei" w:hAnsi="Arial" w:cs="Arial"/>
          <w:b/>
          <w:bCs/>
          <w:sz w:val="22"/>
          <w:szCs w:val="22"/>
          <w:lang w:eastAsia="zh-CN" w:bidi="hi-IN"/>
        </w:rPr>
        <w:t xml:space="preserve">, regularmente emitidos pelo conselho profissional competente, quando for ocaso, que demonstrem capacidade operacional na </w:t>
      </w:r>
      <w:r w:rsidRPr="00821F6A">
        <w:rPr>
          <w:rFonts w:ascii="Arial" w:eastAsia="WenQuanYi Micro Hei" w:hAnsi="Arial" w:cs="Arial"/>
          <w:b/>
          <w:bCs/>
          <w:sz w:val="22"/>
          <w:szCs w:val="22"/>
          <w:lang w:eastAsia="zh-CN" w:bidi="hi-IN"/>
        </w:rPr>
        <w:lastRenderedPageBreak/>
        <w:t xml:space="preserve">execução de serviços similares de </w:t>
      </w:r>
      <w:r w:rsidRPr="00821F6A">
        <w:rPr>
          <w:rFonts w:ascii="Arial" w:eastAsia="WenQuanYi Micro Hei" w:hAnsi="Arial" w:cs="Arial"/>
          <w:b/>
          <w:bCs/>
          <w:sz w:val="22"/>
          <w:szCs w:val="22"/>
          <w:lang w:eastAsia="zh-CN" w:bidi="hi-IN"/>
        </w:rPr>
        <w:t>complexidade tecnológica</w:t>
      </w:r>
      <w:r w:rsidRPr="00821F6A">
        <w:rPr>
          <w:rFonts w:ascii="Arial" w:eastAsia="WenQuanYi Micro Hei" w:hAnsi="Arial" w:cs="Arial"/>
          <w:b/>
          <w:bCs/>
          <w:sz w:val="22"/>
          <w:szCs w:val="22"/>
          <w:lang w:eastAsia="zh-CN" w:bidi="hi-IN"/>
        </w:rPr>
        <w:t xml:space="preserve"> e operacional equivalente ou superior, bem como documentos comprobatórios emitidos </w:t>
      </w:r>
      <w:r w:rsidRPr="00821F6A">
        <w:rPr>
          <w:rFonts w:ascii="Arial" w:eastAsia="WenQuanYi Micro Hei" w:hAnsi="Arial" w:cs="Arial"/>
          <w:b/>
          <w:bCs/>
          <w:sz w:val="22"/>
          <w:szCs w:val="22"/>
          <w:lang w:eastAsia="zh-CN" w:bidi="hi-IN"/>
        </w:rPr>
        <w:t>na forma</w:t>
      </w:r>
      <w:r w:rsidRPr="00821F6A">
        <w:rPr>
          <w:rFonts w:ascii="Arial" w:eastAsia="WenQuanYi Micro Hei" w:hAnsi="Arial" w:cs="Arial"/>
          <w:b/>
          <w:bCs/>
          <w:sz w:val="22"/>
          <w:szCs w:val="22"/>
          <w:lang w:eastAsia="zh-CN" w:bidi="hi-IN"/>
        </w:rPr>
        <w:t xml:space="preserve"> do § 3º do art. 88 desta Lei;</w:t>
      </w:r>
    </w:p>
    <w:p w14:paraId="2FCA254A" w14:textId="77777777" w:rsidR="00821F6A" w:rsidRPr="00821F6A" w:rsidRDefault="00821F6A" w:rsidP="00821F6A">
      <w:pPr>
        <w:ind w:right="565"/>
        <w:contextualSpacing/>
        <w:jc w:val="both"/>
        <w:rPr>
          <w:rFonts w:ascii="Arial" w:eastAsia="WenQuanYi Micro Hei" w:hAnsi="Arial" w:cs="Arial"/>
          <w:b/>
          <w:bCs/>
          <w:sz w:val="22"/>
          <w:szCs w:val="22"/>
          <w:lang w:eastAsia="zh-CN" w:bidi="hi-IN"/>
        </w:rPr>
      </w:pPr>
    </w:p>
    <w:p w14:paraId="7905555B" w14:textId="73EE0189" w:rsidR="00821F6A" w:rsidRPr="00821F6A" w:rsidRDefault="00821F6A" w:rsidP="00821F6A">
      <w:pPr>
        <w:ind w:right="565"/>
        <w:contextualSpacing/>
        <w:jc w:val="both"/>
        <w:rPr>
          <w:rFonts w:ascii="Arial" w:eastAsia="WenQuanYi Micro Hei" w:hAnsi="Arial" w:cs="Arial"/>
          <w:b/>
          <w:bCs/>
          <w:sz w:val="22"/>
          <w:szCs w:val="22"/>
          <w:lang w:eastAsia="zh-CN" w:bidi="hi-IN"/>
        </w:rPr>
      </w:pPr>
      <w:r w:rsidRPr="00821F6A">
        <w:rPr>
          <w:rFonts w:ascii="Arial" w:eastAsia="WenQuanYi Micro Hei" w:hAnsi="Arial" w:cs="Arial"/>
          <w:b/>
          <w:bCs/>
          <w:sz w:val="22"/>
          <w:szCs w:val="22"/>
          <w:lang w:eastAsia="zh-CN" w:bidi="hi-IN"/>
        </w:rPr>
        <w:t xml:space="preserve">§ 1º A exigência de atestados será restrita às parcelas de maior relevância ou valor significativo </w:t>
      </w:r>
      <w:r w:rsidRPr="00821F6A">
        <w:rPr>
          <w:rFonts w:ascii="Arial" w:eastAsia="WenQuanYi Micro Hei" w:hAnsi="Arial" w:cs="Arial"/>
          <w:b/>
          <w:bCs/>
          <w:sz w:val="22"/>
          <w:szCs w:val="22"/>
          <w:lang w:eastAsia="zh-CN" w:bidi="hi-IN"/>
        </w:rPr>
        <w:t>do objeto</w:t>
      </w:r>
      <w:r w:rsidRPr="00821F6A">
        <w:rPr>
          <w:rFonts w:ascii="Arial" w:eastAsia="WenQuanYi Micro Hei" w:hAnsi="Arial" w:cs="Arial"/>
          <w:b/>
          <w:bCs/>
          <w:sz w:val="22"/>
          <w:szCs w:val="22"/>
          <w:lang w:eastAsia="zh-CN" w:bidi="hi-IN"/>
        </w:rPr>
        <w:t xml:space="preserve"> da licitação, assim consideradas as que tenham valor individual igual ou superior a 4% (</w:t>
      </w:r>
      <w:r w:rsidRPr="00821F6A">
        <w:rPr>
          <w:rFonts w:ascii="Arial" w:eastAsia="WenQuanYi Micro Hei" w:hAnsi="Arial" w:cs="Arial"/>
          <w:b/>
          <w:bCs/>
          <w:sz w:val="22"/>
          <w:szCs w:val="22"/>
          <w:lang w:eastAsia="zh-CN" w:bidi="hi-IN"/>
        </w:rPr>
        <w:t>quatro por</w:t>
      </w:r>
      <w:r w:rsidRPr="00821F6A">
        <w:rPr>
          <w:rFonts w:ascii="Arial" w:eastAsia="WenQuanYi Micro Hei" w:hAnsi="Arial" w:cs="Arial"/>
          <w:b/>
          <w:bCs/>
          <w:sz w:val="22"/>
          <w:szCs w:val="22"/>
          <w:lang w:eastAsia="zh-CN" w:bidi="hi-IN"/>
        </w:rPr>
        <w:t xml:space="preserve"> cento) do valor total estimado da contratação.</w:t>
      </w:r>
    </w:p>
    <w:p w14:paraId="5CA87D37" w14:textId="77777777" w:rsidR="00821F6A" w:rsidRPr="00821F6A" w:rsidRDefault="00821F6A" w:rsidP="00821F6A">
      <w:pPr>
        <w:ind w:right="565"/>
        <w:contextualSpacing/>
        <w:jc w:val="both"/>
        <w:rPr>
          <w:rFonts w:ascii="Arial" w:eastAsia="WenQuanYi Micro Hei" w:hAnsi="Arial" w:cs="Arial"/>
          <w:b/>
          <w:bCs/>
          <w:sz w:val="22"/>
          <w:szCs w:val="22"/>
          <w:lang w:eastAsia="zh-CN" w:bidi="hi-IN"/>
        </w:rPr>
      </w:pPr>
    </w:p>
    <w:p w14:paraId="46D89C3E" w14:textId="675E6A68" w:rsidR="00821F6A" w:rsidRPr="00821F6A" w:rsidRDefault="00821F6A" w:rsidP="00821F6A">
      <w:pPr>
        <w:ind w:right="565"/>
        <w:contextualSpacing/>
        <w:jc w:val="both"/>
        <w:rPr>
          <w:rFonts w:ascii="Arial" w:eastAsia="WenQuanYi Micro Hei" w:hAnsi="Arial" w:cs="Arial"/>
          <w:b/>
          <w:bCs/>
          <w:sz w:val="22"/>
          <w:szCs w:val="22"/>
          <w:lang w:eastAsia="zh-CN" w:bidi="hi-IN"/>
        </w:rPr>
      </w:pPr>
      <w:r w:rsidRPr="00821F6A">
        <w:rPr>
          <w:rFonts w:ascii="Arial" w:eastAsia="WenQuanYi Micro Hei" w:hAnsi="Arial" w:cs="Arial"/>
          <w:b/>
          <w:bCs/>
          <w:sz w:val="22"/>
          <w:szCs w:val="22"/>
          <w:lang w:eastAsia="zh-CN" w:bidi="hi-IN"/>
        </w:rPr>
        <w:t xml:space="preserve">§ 2º Observado o disposto no caput e no § 1º deste artigo, será admitida a exigência de atestados </w:t>
      </w:r>
      <w:r w:rsidRPr="00821F6A">
        <w:rPr>
          <w:rFonts w:ascii="Arial" w:eastAsia="WenQuanYi Micro Hei" w:hAnsi="Arial" w:cs="Arial"/>
          <w:b/>
          <w:bCs/>
          <w:sz w:val="22"/>
          <w:szCs w:val="22"/>
          <w:lang w:eastAsia="zh-CN" w:bidi="hi-IN"/>
        </w:rPr>
        <w:t>com quantidades</w:t>
      </w:r>
      <w:r w:rsidRPr="00821F6A">
        <w:rPr>
          <w:rFonts w:ascii="Arial" w:eastAsia="WenQuanYi Micro Hei" w:hAnsi="Arial" w:cs="Arial"/>
          <w:b/>
          <w:bCs/>
          <w:sz w:val="22"/>
          <w:szCs w:val="22"/>
          <w:lang w:eastAsia="zh-CN" w:bidi="hi-IN"/>
        </w:rPr>
        <w:t xml:space="preserve"> mínimas de até 50% (cinquenta por cento) das parcelas de que trata o referido </w:t>
      </w:r>
      <w:r w:rsidRPr="00821F6A">
        <w:rPr>
          <w:rFonts w:ascii="Arial" w:eastAsia="WenQuanYi Micro Hei" w:hAnsi="Arial" w:cs="Arial"/>
          <w:b/>
          <w:bCs/>
          <w:sz w:val="22"/>
          <w:szCs w:val="22"/>
          <w:lang w:eastAsia="zh-CN" w:bidi="hi-IN"/>
        </w:rPr>
        <w:t>parágrafo, vedadas</w:t>
      </w:r>
      <w:r w:rsidRPr="00821F6A">
        <w:rPr>
          <w:rFonts w:ascii="Arial" w:eastAsia="WenQuanYi Micro Hei" w:hAnsi="Arial" w:cs="Arial"/>
          <w:b/>
          <w:bCs/>
          <w:sz w:val="22"/>
          <w:szCs w:val="22"/>
          <w:lang w:eastAsia="zh-CN" w:bidi="hi-IN"/>
        </w:rPr>
        <w:t xml:space="preserve"> limitações de tempo e de locais específicos relativas aos atestados. </w:t>
      </w:r>
    </w:p>
    <w:p w14:paraId="7EEEDAA0" w14:textId="77777777" w:rsidR="00821F6A" w:rsidRPr="00821F6A" w:rsidRDefault="00821F6A" w:rsidP="00821F6A">
      <w:pPr>
        <w:ind w:right="565"/>
        <w:contextualSpacing/>
        <w:jc w:val="both"/>
        <w:rPr>
          <w:rFonts w:ascii="Arial" w:eastAsia="WenQuanYi Micro Hei" w:hAnsi="Arial" w:cs="Arial"/>
          <w:b/>
          <w:bCs/>
          <w:sz w:val="22"/>
          <w:szCs w:val="22"/>
          <w:lang w:eastAsia="zh-CN" w:bidi="hi-IN"/>
        </w:rPr>
      </w:pPr>
    </w:p>
    <w:p w14:paraId="1A7EAD3D" w14:textId="18E3295E" w:rsidR="00C54171" w:rsidRPr="00821F6A" w:rsidRDefault="00C54171" w:rsidP="00C54171">
      <w:pPr>
        <w:ind w:right="565"/>
        <w:contextualSpacing/>
        <w:jc w:val="both"/>
        <w:rPr>
          <w:rFonts w:ascii="Arial" w:hAnsi="Arial" w:cs="Arial"/>
          <w:sz w:val="22"/>
          <w:szCs w:val="22"/>
        </w:rPr>
      </w:pPr>
      <w:r w:rsidRPr="00821F6A">
        <w:rPr>
          <w:rFonts w:ascii="Arial" w:hAnsi="Arial" w:cs="Arial"/>
          <w:b/>
          <w:bCs/>
          <w:sz w:val="22"/>
          <w:szCs w:val="22"/>
        </w:rPr>
        <w:t>4.</w:t>
      </w:r>
      <w:r w:rsidR="00821F6A" w:rsidRPr="00821F6A">
        <w:rPr>
          <w:rFonts w:ascii="Arial" w:hAnsi="Arial" w:cs="Arial"/>
          <w:b/>
          <w:bCs/>
          <w:sz w:val="22"/>
          <w:szCs w:val="22"/>
        </w:rPr>
        <w:t>2</w:t>
      </w:r>
      <w:r w:rsidRPr="00821F6A">
        <w:rPr>
          <w:rFonts w:ascii="Arial" w:hAnsi="Arial" w:cs="Arial"/>
          <w:b/>
          <w:bCs/>
          <w:sz w:val="22"/>
          <w:szCs w:val="22"/>
        </w:rPr>
        <w:t xml:space="preserve"> Compromisso </w:t>
      </w:r>
      <w:r w:rsidRPr="00821F6A">
        <w:rPr>
          <w:rFonts w:ascii="Arial" w:hAnsi="Arial" w:cs="Arial"/>
          <w:sz w:val="22"/>
          <w:szCs w:val="22"/>
        </w:rPr>
        <w:t>de fornecimento e locação das máquinas e equipamentos em perfeito estado, com manutenção regular, de forma a garantir seu pleno funcionamento e atender a demanda da SECEC/RJ, a ser comprovado antes do início da execução;</w:t>
      </w:r>
    </w:p>
    <w:p w14:paraId="08C8B06A" w14:textId="77777777" w:rsidR="00C54171" w:rsidRPr="00821F6A" w:rsidRDefault="00C54171" w:rsidP="00C54171">
      <w:pPr>
        <w:ind w:left="567" w:right="565"/>
        <w:contextualSpacing/>
        <w:jc w:val="both"/>
        <w:rPr>
          <w:rFonts w:ascii="Arial" w:hAnsi="Arial" w:cs="Arial"/>
          <w:sz w:val="22"/>
          <w:szCs w:val="22"/>
        </w:rPr>
      </w:pPr>
    </w:p>
    <w:p w14:paraId="16248F47" w14:textId="4710825F" w:rsidR="00C54171" w:rsidRPr="00821F6A" w:rsidRDefault="00C54171" w:rsidP="00C54171">
      <w:pPr>
        <w:ind w:right="565"/>
        <w:contextualSpacing/>
        <w:jc w:val="both"/>
        <w:rPr>
          <w:rFonts w:ascii="Arial" w:hAnsi="Arial" w:cs="Arial"/>
          <w:sz w:val="22"/>
          <w:szCs w:val="22"/>
        </w:rPr>
      </w:pPr>
      <w:r w:rsidRPr="00821F6A">
        <w:rPr>
          <w:rFonts w:ascii="Arial" w:hAnsi="Arial" w:cs="Arial"/>
          <w:b/>
          <w:bCs/>
          <w:sz w:val="22"/>
          <w:szCs w:val="22"/>
        </w:rPr>
        <w:t>4.</w:t>
      </w:r>
      <w:r w:rsidR="00821F6A" w:rsidRPr="00821F6A">
        <w:rPr>
          <w:rFonts w:ascii="Arial" w:hAnsi="Arial" w:cs="Arial"/>
          <w:b/>
          <w:bCs/>
          <w:sz w:val="22"/>
          <w:szCs w:val="22"/>
        </w:rPr>
        <w:t>3</w:t>
      </w:r>
      <w:r w:rsidRPr="00821F6A">
        <w:rPr>
          <w:rFonts w:ascii="Arial" w:hAnsi="Arial" w:cs="Arial"/>
          <w:b/>
          <w:bCs/>
          <w:sz w:val="22"/>
          <w:szCs w:val="22"/>
        </w:rPr>
        <w:t xml:space="preserve"> Qualificação dos profissionais</w:t>
      </w:r>
      <w:r w:rsidRPr="00821F6A">
        <w:rPr>
          <w:rFonts w:ascii="Arial" w:hAnsi="Arial" w:cs="Arial"/>
          <w:sz w:val="22"/>
          <w:szCs w:val="22"/>
        </w:rPr>
        <w:t xml:space="preserve">, assegurando que atenderão aos requisitos legais, com comprovação antes da execução. </w:t>
      </w:r>
    </w:p>
    <w:p w14:paraId="75D75BC9" w14:textId="77777777" w:rsidR="00756524" w:rsidRPr="00821F6A" w:rsidRDefault="00756524" w:rsidP="00C54171">
      <w:pPr>
        <w:ind w:right="565"/>
        <w:contextualSpacing/>
        <w:jc w:val="both"/>
        <w:rPr>
          <w:rFonts w:ascii="Arial" w:hAnsi="Arial" w:cs="Arial"/>
          <w:sz w:val="22"/>
          <w:szCs w:val="22"/>
        </w:rPr>
      </w:pPr>
    </w:p>
    <w:p w14:paraId="2CC826F5" w14:textId="27DD65AC" w:rsidR="00756524" w:rsidRPr="00821F6A" w:rsidRDefault="00756524" w:rsidP="00756524">
      <w:pPr>
        <w:ind w:right="565"/>
        <w:contextualSpacing/>
        <w:jc w:val="both"/>
        <w:rPr>
          <w:rFonts w:ascii="Arial" w:hAnsi="Arial" w:cs="Arial"/>
          <w:sz w:val="22"/>
          <w:szCs w:val="22"/>
        </w:rPr>
      </w:pPr>
      <w:r w:rsidRPr="00821F6A">
        <w:rPr>
          <w:rFonts w:ascii="Arial" w:hAnsi="Arial" w:cs="Arial"/>
          <w:b/>
          <w:bCs/>
          <w:sz w:val="22"/>
          <w:szCs w:val="22"/>
        </w:rPr>
        <w:t>5. Quanto à Visita Técnica</w:t>
      </w:r>
    </w:p>
    <w:p w14:paraId="420819F7" w14:textId="77777777" w:rsidR="00756524" w:rsidRPr="00821F6A" w:rsidRDefault="00756524" w:rsidP="00756524">
      <w:pPr>
        <w:ind w:left="1080" w:right="565"/>
        <w:contextualSpacing/>
        <w:jc w:val="both"/>
        <w:rPr>
          <w:rFonts w:ascii="Arial" w:hAnsi="Arial" w:cs="Arial"/>
          <w:sz w:val="22"/>
          <w:szCs w:val="22"/>
        </w:rPr>
      </w:pPr>
    </w:p>
    <w:p w14:paraId="158B5C13" w14:textId="324D73D7" w:rsidR="00756524" w:rsidRPr="00821F6A" w:rsidRDefault="00756524" w:rsidP="00756524">
      <w:pPr>
        <w:ind w:right="565"/>
        <w:contextualSpacing/>
        <w:jc w:val="both"/>
        <w:rPr>
          <w:rFonts w:ascii="Arial" w:hAnsi="Arial" w:cs="Arial"/>
          <w:sz w:val="22"/>
          <w:szCs w:val="22"/>
        </w:rPr>
      </w:pPr>
      <w:r w:rsidRPr="00821F6A">
        <w:rPr>
          <w:rFonts w:ascii="Arial" w:hAnsi="Arial" w:cs="Arial"/>
          <w:sz w:val="22"/>
          <w:szCs w:val="22"/>
        </w:rPr>
        <w:t>5.1 A Licitante deverá agendar, com prévia antecedência de, </w:t>
      </w:r>
      <w:r w:rsidRPr="00821F6A">
        <w:rPr>
          <w:rFonts w:ascii="Arial" w:hAnsi="Arial" w:cs="Arial"/>
          <w:b/>
          <w:bCs/>
          <w:sz w:val="22"/>
          <w:szCs w:val="22"/>
        </w:rPr>
        <w:t>no mínimo 07 dias</w:t>
      </w:r>
      <w:r w:rsidRPr="00821F6A">
        <w:rPr>
          <w:rFonts w:ascii="Arial" w:hAnsi="Arial" w:cs="Arial"/>
          <w:sz w:val="22"/>
          <w:szCs w:val="22"/>
        </w:rPr>
        <w:t>, de forma </w:t>
      </w:r>
      <w:r w:rsidRPr="00821F6A">
        <w:rPr>
          <w:rFonts w:ascii="Arial" w:hAnsi="Arial" w:cs="Arial"/>
          <w:b/>
          <w:bCs/>
          <w:sz w:val="22"/>
          <w:szCs w:val="22"/>
        </w:rPr>
        <w:t>FACULTATIVA</w:t>
      </w:r>
      <w:r w:rsidRPr="00821F6A">
        <w:rPr>
          <w:rFonts w:ascii="Arial" w:hAnsi="Arial" w:cs="Arial"/>
          <w:sz w:val="22"/>
          <w:szCs w:val="22"/>
        </w:rPr>
        <w:t> através do e-mail</w:t>
      </w:r>
      <w:r w:rsidRPr="00821F6A">
        <w:rPr>
          <w:rFonts w:ascii="Arial" w:hAnsi="Arial" w:cs="Arial"/>
          <w:b/>
          <w:bCs/>
          <w:sz w:val="22"/>
          <w:szCs w:val="22"/>
        </w:rPr>
        <w:t> cooea@cultura.rj.gov.br</w:t>
      </w:r>
      <w:r w:rsidRPr="00821F6A">
        <w:rPr>
          <w:rFonts w:ascii="Arial" w:hAnsi="Arial" w:cs="Arial"/>
          <w:sz w:val="22"/>
          <w:szCs w:val="22"/>
        </w:rPr>
        <w:t>, com cópia para o e-mail </w:t>
      </w:r>
      <w:r w:rsidRPr="00821F6A">
        <w:rPr>
          <w:rFonts w:ascii="Arial" w:hAnsi="Arial" w:cs="Arial"/>
          <w:b/>
          <w:bCs/>
          <w:sz w:val="22"/>
          <w:szCs w:val="22"/>
        </w:rPr>
        <w:t>dcp@cultura.rj.gov.br</w:t>
      </w:r>
      <w:r w:rsidRPr="00821F6A">
        <w:rPr>
          <w:rFonts w:ascii="Arial" w:hAnsi="Arial" w:cs="Arial"/>
          <w:sz w:val="22"/>
          <w:szCs w:val="22"/>
        </w:rPr>
        <w:t>, visita prévia para inspecionar as condições do local. A visita deverá se dar em horário comercial, de segunda à sexta-feira, </w:t>
      </w:r>
      <w:r w:rsidRPr="00821F6A">
        <w:rPr>
          <w:rFonts w:ascii="Arial" w:hAnsi="Arial" w:cs="Arial"/>
          <w:b/>
          <w:bCs/>
          <w:sz w:val="22"/>
          <w:szCs w:val="22"/>
        </w:rPr>
        <w:t>das 9:00h às 17:00h</w:t>
      </w:r>
      <w:r w:rsidRPr="00821F6A">
        <w:rPr>
          <w:rFonts w:ascii="Arial" w:hAnsi="Arial" w:cs="Arial"/>
          <w:sz w:val="22"/>
          <w:szCs w:val="22"/>
        </w:rPr>
        <w:t>, com o acompanhamento de um indicado pela Secretaria, até o limite do dia anterior ao da licitação, de modo a obter, para sua própria utilização e por sua exclusiva responsabilidade, toda a informação necessária à elaboração da proposta, sendo recomendada a juntada do Termo de Vistoria emitida pela CONTRATANTE nos autos do processo licitatório. </w:t>
      </w:r>
      <w:r w:rsidRPr="00821F6A">
        <w:rPr>
          <w:rFonts w:ascii="Arial" w:hAnsi="Arial" w:cs="Arial"/>
          <w:sz w:val="22"/>
          <w:szCs w:val="22"/>
          <w:u w:val="single"/>
        </w:rPr>
        <w:t>Caso a visita técnica não seja realizada, a empresa proponente torna-se responsável por todos os ônus que vierem a ocorrer pelo não conhecimento prévio do local onde se dará o serviço</w:t>
      </w:r>
      <w:r w:rsidRPr="00821F6A">
        <w:rPr>
          <w:rFonts w:ascii="Arial" w:hAnsi="Arial" w:cs="Arial"/>
          <w:sz w:val="22"/>
          <w:szCs w:val="22"/>
        </w:rPr>
        <w:t>.</w:t>
      </w:r>
    </w:p>
    <w:p w14:paraId="59E1FF1C" w14:textId="77777777" w:rsidR="00756524" w:rsidRPr="00821F6A" w:rsidRDefault="00756524" w:rsidP="00756524">
      <w:pPr>
        <w:ind w:left="1080" w:right="565"/>
        <w:contextualSpacing/>
        <w:jc w:val="both"/>
        <w:rPr>
          <w:rFonts w:ascii="Arial" w:hAnsi="Arial" w:cs="Arial"/>
          <w:sz w:val="22"/>
          <w:szCs w:val="22"/>
        </w:rPr>
      </w:pPr>
    </w:p>
    <w:p w14:paraId="1E57FAEE" w14:textId="2F8EA329" w:rsidR="00756524" w:rsidRPr="00821F6A" w:rsidRDefault="00756524" w:rsidP="00756524">
      <w:pPr>
        <w:ind w:right="565"/>
        <w:contextualSpacing/>
        <w:jc w:val="both"/>
        <w:rPr>
          <w:rFonts w:ascii="Arial" w:hAnsi="Arial" w:cs="Arial"/>
          <w:sz w:val="22"/>
          <w:szCs w:val="22"/>
        </w:rPr>
      </w:pPr>
      <w:r w:rsidRPr="00821F6A">
        <w:rPr>
          <w:rFonts w:ascii="Arial" w:hAnsi="Arial" w:cs="Arial"/>
          <w:sz w:val="22"/>
          <w:szCs w:val="22"/>
        </w:rPr>
        <w:t>5.1.1 O Termo de Vistoria indicará que a empresa licitante tomou conhecimento de todas as informações e das condições locais para cumprimento das obrigações relativas ao objeto licitado. Todos os custos associados às visitas e à inspeção serão de inteira responsabilidade da licitante.</w:t>
      </w:r>
    </w:p>
    <w:p w14:paraId="27F6B285" w14:textId="77777777" w:rsidR="00756524" w:rsidRPr="00821F6A" w:rsidRDefault="00756524" w:rsidP="00756524">
      <w:pPr>
        <w:ind w:left="1080" w:right="565"/>
        <w:contextualSpacing/>
        <w:jc w:val="both"/>
        <w:rPr>
          <w:rFonts w:ascii="Arial" w:hAnsi="Arial" w:cs="Arial"/>
          <w:sz w:val="22"/>
          <w:szCs w:val="22"/>
        </w:rPr>
      </w:pPr>
    </w:p>
    <w:p w14:paraId="30422E84" w14:textId="53122402" w:rsidR="00756524" w:rsidRPr="00821F6A" w:rsidRDefault="00756524" w:rsidP="00756524">
      <w:pPr>
        <w:ind w:right="565"/>
        <w:contextualSpacing/>
        <w:jc w:val="both"/>
        <w:rPr>
          <w:rFonts w:ascii="Arial" w:hAnsi="Arial" w:cs="Arial"/>
          <w:sz w:val="22"/>
          <w:szCs w:val="22"/>
        </w:rPr>
      </w:pPr>
      <w:r w:rsidRPr="00821F6A">
        <w:rPr>
          <w:rFonts w:ascii="Arial" w:hAnsi="Arial" w:cs="Arial"/>
          <w:sz w:val="22"/>
          <w:szCs w:val="22"/>
        </w:rPr>
        <w:t>5.1.2 Todas as condições locais do serviço deverão ser adequadamente observadas nessa visita, quando os LICITANTES deverão conhecer e equacionar, mediante inspeção preliminar e coleta de informações, todos os dados e elementos que possam vir a ter influência no desenvolvimento dos trabalhos.</w:t>
      </w:r>
    </w:p>
    <w:p w14:paraId="468B75E4" w14:textId="77777777" w:rsidR="00756524" w:rsidRPr="00C54171" w:rsidRDefault="00756524" w:rsidP="00C54171">
      <w:pPr>
        <w:ind w:right="565"/>
        <w:contextualSpacing/>
        <w:jc w:val="both"/>
        <w:rPr>
          <w:rFonts w:ascii="Arial" w:hAnsi="Arial" w:cs="Arial"/>
          <w:color w:val="FF0000"/>
          <w:sz w:val="22"/>
          <w:szCs w:val="22"/>
        </w:rPr>
      </w:pPr>
    </w:p>
    <w:p w14:paraId="51DE423E" w14:textId="77777777" w:rsidR="00EF50F1" w:rsidRPr="00C54171" w:rsidRDefault="00EF50F1" w:rsidP="00C54171">
      <w:pPr>
        <w:jc w:val="both"/>
        <w:rPr>
          <w:rFonts w:ascii="Arial" w:hAnsi="Arial" w:cs="Arial"/>
          <w:sz w:val="22"/>
          <w:szCs w:val="22"/>
        </w:rPr>
      </w:pPr>
    </w:p>
    <w:sectPr w:rsidR="00EF50F1" w:rsidRPr="00C54171" w:rsidSect="00C54171">
      <w:headerReference w:type="default" r:id="rId10"/>
      <w:footerReference w:type="default" r:id="rId11"/>
      <w:headerReference w:type="first" r:id="rId12"/>
      <w:footerReference w:type="first" r:id="rId13"/>
      <w:pgSz w:w="11906" w:h="16838"/>
      <w:pgMar w:top="1135" w:right="1134" w:bottom="1134" w:left="1985"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3A58" w14:textId="77777777" w:rsidR="00C420C1" w:rsidRDefault="00C420C1">
      <w:r>
        <w:separator/>
      </w:r>
    </w:p>
  </w:endnote>
  <w:endnote w:type="continuationSeparator" w:id="0">
    <w:p w14:paraId="5191F2C9" w14:textId="77777777" w:rsidR="00C420C1" w:rsidRDefault="00C4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672F" w14:textId="77777777" w:rsidR="00C54171" w:rsidRPr="00F248D5" w:rsidRDefault="00C54171" w:rsidP="00F248D5">
    <w:pPr>
      <w:pStyle w:val="Rodap"/>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3EB2" w14:textId="77777777" w:rsidR="00C54171" w:rsidRPr="00947923" w:rsidRDefault="00C54171" w:rsidP="00DD26DB">
    <w:pPr>
      <w:pStyle w:val="Rodap"/>
      <w:rPr>
        <w:sz w:val="20"/>
        <w:szCs w:val="20"/>
      </w:rPr>
    </w:pPr>
    <w:r w:rsidRPr="00947923">
      <w:rPr>
        <w:sz w:val="20"/>
        <w:szCs w:val="20"/>
      </w:rPr>
      <w:t xml:space="preserve">Minuta padronizada PGE/RJ de edital de pregão </w:t>
    </w:r>
    <w:r>
      <w:rPr>
        <w:sz w:val="20"/>
        <w:szCs w:val="20"/>
      </w:rPr>
      <w:t xml:space="preserve">eletrônico </w:t>
    </w:r>
    <w:r w:rsidRPr="00D6115C">
      <w:rPr>
        <w:sz w:val="20"/>
        <w:szCs w:val="20"/>
      </w:rPr>
      <w:t xml:space="preserve">de prestação de serviços </w:t>
    </w:r>
    <w:r>
      <w:rPr>
        <w:sz w:val="20"/>
        <w:szCs w:val="20"/>
      </w:rPr>
      <w:t>com</w:t>
    </w:r>
    <w:r w:rsidRPr="00D6115C">
      <w:rPr>
        <w:sz w:val="20"/>
        <w:szCs w:val="20"/>
      </w:rPr>
      <w:t xml:space="preserve"> dedicação exclusiva de mão de obra</w:t>
    </w:r>
    <w:r>
      <w:rPr>
        <w:sz w:val="20"/>
        <w:szCs w:val="20"/>
      </w:rPr>
      <w:t xml:space="preserve"> </w:t>
    </w:r>
    <w:r w:rsidRPr="00947923">
      <w:rPr>
        <w:sz w:val="20"/>
        <w:szCs w:val="20"/>
      </w:rPr>
      <w:t xml:space="preserve">– versão </w:t>
    </w:r>
    <w:r>
      <w:rPr>
        <w:sz w:val="20"/>
        <w:szCs w:val="20"/>
      </w:rPr>
      <w:t>março/2025</w:t>
    </w:r>
  </w:p>
  <w:p w14:paraId="3DAB0E01" w14:textId="77777777" w:rsidR="00C54171" w:rsidRDefault="00C541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83CA" w14:textId="77777777" w:rsidR="00C420C1" w:rsidRDefault="00C420C1">
      <w:r>
        <w:separator/>
      </w:r>
    </w:p>
  </w:footnote>
  <w:footnote w:type="continuationSeparator" w:id="0">
    <w:p w14:paraId="48265E55" w14:textId="77777777" w:rsidR="00C420C1" w:rsidRDefault="00C4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62F" w14:textId="77777777" w:rsidR="00C54171" w:rsidRDefault="00C54171" w:rsidP="00F248D5">
    <w:pPr>
      <w:tabs>
        <w:tab w:val="left" w:pos="2760"/>
        <w:tab w:val="center" w:pos="4419"/>
      </w:tabs>
      <w:spacing w:line="360" w:lineRule="atLeast"/>
      <w:jc w:val="center"/>
      <w:rPr>
        <w:sz w:val="21"/>
        <w:szCs w:val="20"/>
      </w:rPr>
    </w:pPr>
  </w:p>
  <w:p w14:paraId="7C8C162C" w14:textId="77777777" w:rsidR="00C54171" w:rsidRDefault="00C54171" w:rsidP="00CD536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CA9E" w14:textId="167BFB1B" w:rsidR="00C54171" w:rsidRDefault="00C54171" w:rsidP="002361C4">
    <w:pPr>
      <w:pStyle w:val="Cabealho"/>
      <w:jc w:val="center"/>
    </w:pPr>
    <w:r>
      <w:rPr>
        <w:noProof/>
      </w:rPr>
      <w:drawing>
        <wp:inline distT="0" distB="0" distL="0" distR="0" wp14:anchorId="0C39F129" wp14:editId="7A908CF1">
          <wp:extent cx="841375" cy="810895"/>
          <wp:effectExtent l="0" t="0" r="0" b="8255"/>
          <wp:docPr id="11471142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458B9"/>
    <w:multiLevelType w:val="multilevel"/>
    <w:tmpl w:val="1206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01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71"/>
    <w:rsid w:val="00313F59"/>
    <w:rsid w:val="00756524"/>
    <w:rsid w:val="00821F6A"/>
    <w:rsid w:val="009B0B96"/>
    <w:rsid w:val="009C34BD"/>
    <w:rsid w:val="00A650F5"/>
    <w:rsid w:val="00C420C1"/>
    <w:rsid w:val="00C54171"/>
    <w:rsid w:val="00E73B2B"/>
    <w:rsid w:val="00EB7F82"/>
    <w:rsid w:val="00EF5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915E"/>
  <w15:chartTrackingRefBased/>
  <w15:docId w15:val="{E8229D05-2426-49A1-B460-0C98EEC5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71"/>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C541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C541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C541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C5417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C5417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C5417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C5417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C5417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C5417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1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541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541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541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541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541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541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541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54171"/>
    <w:rPr>
      <w:rFonts w:eastAsiaTheme="majorEastAsia" w:cstheme="majorBidi"/>
      <w:color w:val="272727" w:themeColor="text1" w:themeTint="D8"/>
    </w:rPr>
  </w:style>
  <w:style w:type="paragraph" w:styleId="Ttulo">
    <w:name w:val="Title"/>
    <w:basedOn w:val="Normal"/>
    <w:next w:val="Normal"/>
    <w:link w:val="TtuloChar"/>
    <w:uiPriority w:val="10"/>
    <w:qFormat/>
    <w:rsid w:val="00C541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C54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41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C541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5417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C54171"/>
    <w:rPr>
      <w:i/>
      <w:iCs/>
      <w:color w:val="404040" w:themeColor="text1" w:themeTint="BF"/>
    </w:rPr>
  </w:style>
  <w:style w:type="paragraph" w:styleId="PargrafodaLista">
    <w:name w:val="List Paragraph"/>
    <w:basedOn w:val="Normal"/>
    <w:uiPriority w:val="34"/>
    <w:qFormat/>
    <w:rsid w:val="00C5417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C54171"/>
    <w:rPr>
      <w:i/>
      <w:iCs/>
      <w:color w:val="0F4761" w:themeColor="accent1" w:themeShade="BF"/>
    </w:rPr>
  </w:style>
  <w:style w:type="paragraph" w:styleId="CitaoIntensa">
    <w:name w:val="Intense Quote"/>
    <w:basedOn w:val="Normal"/>
    <w:next w:val="Normal"/>
    <w:link w:val="CitaoIntensaChar"/>
    <w:uiPriority w:val="30"/>
    <w:qFormat/>
    <w:rsid w:val="00C541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C54171"/>
    <w:rPr>
      <w:i/>
      <w:iCs/>
      <w:color w:val="0F4761" w:themeColor="accent1" w:themeShade="BF"/>
    </w:rPr>
  </w:style>
  <w:style w:type="character" w:styleId="RefernciaIntensa">
    <w:name w:val="Intense Reference"/>
    <w:basedOn w:val="Fontepargpadro"/>
    <w:uiPriority w:val="32"/>
    <w:qFormat/>
    <w:rsid w:val="00C54171"/>
    <w:rPr>
      <w:b/>
      <w:bCs/>
      <w:smallCaps/>
      <w:color w:val="0F4761" w:themeColor="accent1" w:themeShade="BF"/>
      <w:spacing w:val="5"/>
    </w:rPr>
  </w:style>
  <w:style w:type="paragraph" w:styleId="Cabealho">
    <w:name w:val="header"/>
    <w:basedOn w:val="Normal"/>
    <w:link w:val="CabealhoChar"/>
    <w:uiPriority w:val="99"/>
    <w:rsid w:val="00C54171"/>
    <w:pPr>
      <w:tabs>
        <w:tab w:val="center" w:pos="4252"/>
        <w:tab w:val="right" w:pos="8504"/>
      </w:tabs>
    </w:pPr>
  </w:style>
  <w:style w:type="character" w:customStyle="1" w:styleId="CabealhoChar">
    <w:name w:val="Cabeçalho Char"/>
    <w:basedOn w:val="Fontepargpadro"/>
    <w:link w:val="Cabealho"/>
    <w:uiPriority w:val="99"/>
    <w:rsid w:val="00C54171"/>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rsid w:val="00C54171"/>
    <w:pPr>
      <w:tabs>
        <w:tab w:val="center" w:pos="4252"/>
        <w:tab w:val="right" w:pos="8504"/>
      </w:tabs>
    </w:pPr>
  </w:style>
  <w:style w:type="character" w:customStyle="1" w:styleId="RodapChar">
    <w:name w:val="Rodapé Char"/>
    <w:basedOn w:val="Fontepargpadro"/>
    <w:link w:val="Rodap"/>
    <w:uiPriority w:val="99"/>
    <w:qFormat/>
    <w:rsid w:val="00C54171"/>
    <w:rPr>
      <w:rFonts w:ascii="Times New Roman" w:eastAsia="Times New Roman" w:hAnsi="Times New Roman" w:cs="Times New Roman"/>
      <w:kern w:val="0"/>
      <w:lang w:eastAsia="pt-BR"/>
      <w14:ligatures w14:val="none"/>
    </w:rPr>
  </w:style>
  <w:style w:type="paragraph" w:styleId="Recuodecorpodetexto3">
    <w:name w:val="Body Text Indent 3"/>
    <w:basedOn w:val="Normal"/>
    <w:link w:val="Recuodecorpodetexto3Char"/>
    <w:rsid w:val="00C54171"/>
    <w:pPr>
      <w:spacing w:line="360" w:lineRule="auto"/>
      <w:ind w:firstLine="2552"/>
      <w:jc w:val="both"/>
    </w:pPr>
    <w:rPr>
      <w:rFonts w:ascii="Arial" w:hAnsi="Arial"/>
      <w:szCs w:val="20"/>
    </w:rPr>
  </w:style>
  <w:style w:type="character" w:customStyle="1" w:styleId="Recuodecorpodetexto3Char">
    <w:name w:val="Recuo de corpo de texto 3 Char"/>
    <w:basedOn w:val="Fontepargpadro"/>
    <w:link w:val="Recuodecorpodetexto3"/>
    <w:rsid w:val="00C54171"/>
    <w:rPr>
      <w:rFonts w:ascii="Arial" w:eastAsia="Times New Roman" w:hAnsi="Arial" w:cs="Times New Roman"/>
      <w:kern w:val="0"/>
      <w:szCs w:val="20"/>
      <w:lang w:eastAsia="pt-BR"/>
      <w14:ligatures w14:val="none"/>
    </w:rPr>
  </w:style>
  <w:style w:type="paragraph" w:customStyle="1" w:styleId="pf0">
    <w:name w:val="pf0"/>
    <w:basedOn w:val="Normal"/>
    <w:rsid w:val="00C54171"/>
    <w:pPr>
      <w:spacing w:before="100" w:beforeAutospacing="1" w:after="100" w:afterAutospacing="1"/>
    </w:pPr>
  </w:style>
  <w:style w:type="paragraph" w:styleId="Recuodecorpodetexto">
    <w:name w:val="Body Text Indent"/>
    <w:basedOn w:val="Normal"/>
    <w:link w:val="RecuodecorpodetextoChar"/>
    <w:rsid w:val="00C54171"/>
    <w:pPr>
      <w:spacing w:after="120"/>
      <w:ind w:left="283"/>
    </w:pPr>
  </w:style>
  <w:style w:type="character" w:customStyle="1" w:styleId="RecuodecorpodetextoChar">
    <w:name w:val="Recuo de corpo de texto Char"/>
    <w:basedOn w:val="Fontepargpadro"/>
    <w:link w:val="Recuodecorpodetexto"/>
    <w:rsid w:val="00C54171"/>
    <w:rPr>
      <w:rFonts w:ascii="Times New Roman" w:eastAsia="Times New Roman" w:hAnsi="Times New Roman" w:cs="Times New Roman"/>
      <w:kern w:val="0"/>
      <w:lang w:eastAsia="pt-BR"/>
      <w14:ligatures w14:val="none"/>
    </w:rPr>
  </w:style>
  <w:style w:type="paragraph" w:customStyle="1" w:styleId="Nivel4">
    <w:name w:val="Nivel 4"/>
    <w:basedOn w:val="Normal"/>
    <w:link w:val="Nivel4Char"/>
    <w:qFormat/>
    <w:rsid w:val="00C54171"/>
    <w:pPr>
      <w:spacing w:before="120" w:after="120" w:line="276" w:lineRule="auto"/>
      <w:ind w:left="851"/>
      <w:jc w:val="both"/>
    </w:pPr>
    <w:rPr>
      <w:rFonts w:ascii="Arial" w:eastAsia="MS Mincho" w:hAnsi="Arial" w:cs="Arial"/>
      <w:sz w:val="20"/>
      <w:szCs w:val="20"/>
    </w:rPr>
  </w:style>
  <w:style w:type="character" w:customStyle="1" w:styleId="Nivel4Char">
    <w:name w:val="Nivel 4 Char"/>
    <w:link w:val="Nivel4"/>
    <w:rsid w:val="00C54171"/>
    <w:rPr>
      <w:rFonts w:ascii="Arial" w:eastAsia="MS Mincho" w:hAnsi="Arial" w:cs="Arial"/>
      <w:kern w:val="0"/>
      <w:sz w:val="20"/>
      <w:szCs w:val="20"/>
      <w:lang w:eastAsia="pt-BR"/>
      <w14:ligatures w14:val="none"/>
    </w:rPr>
  </w:style>
  <w:style w:type="character" w:customStyle="1" w:styleId="cf11">
    <w:name w:val="cf11"/>
    <w:rsid w:val="00C54171"/>
    <w:rPr>
      <w:rFonts w:ascii="Segoe UI" w:hAnsi="Segoe UI" w:cs="Segoe UI" w:hint="default"/>
      <w:i/>
      <w:iCs/>
      <w:sz w:val="18"/>
      <w:szCs w:val="18"/>
    </w:rPr>
  </w:style>
  <w:style w:type="paragraph" w:customStyle="1" w:styleId="PADRO">
    <w:name w:val="PADRÃO"/>
    <w:qFormat/>
    <w:rsid w:val="00C5417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5764.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gov.br/en/web/dou/-/instrucao-normativa-seges/me-n-116-de-21-de-dezembro-de-2021-37092695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leis/l5764.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1715</Words>
  <Characters>9267</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Sônia Maria Trindade</dc:creator>
  <cp:keywords/>
  <dc:description/>
  <cp:lastModifiedBy>Sônia Maria Trindade</cp:lastModifiedBy>
  <cp:revision>4</cp:revision>
  <dcterms:created xsi:type="dcterms:W3CDTF">2026-03-13T17:49:00Z</dcterms:created>
  <dcterms:modified xsi:type="dcterms:W3CDTF">2026-03-31T15:10:00Z</dcterms:modified>
</cp:coreProperties>
</file>