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0A836" w14:textId="77777777" w:rsidR="00DE07B0" w:rsidRPr="00CF6D02" w:rsidRDefault="00DE07B0" w:rsidP="006470CD">
      <w:pPr>
        <w:jc w:val="center"/>
        <w:rPr>
          <w:rFonts w:ascii="Arial" w:hAnsi="Arial" w:cs="Arial"/>
          <w:b/>
          <w:sz w:val="22"/>
          <w:szCs w:val="22"/>
        </w:rPr>
      </w:pPr>
      <w:r w:rsidRPr="00CF6D02">
        <w:rPr>
          <w:rFonts w:ascii="Arial" w:hAnsi="Arial" w:cs="Arial"/>
          <w:b/>
          <w:sz w:val="22"/>
          <w:szCs w:val="22"/>
        </w:rPr>
        <w:t>ANEXO IV – DOCUMENTAÇÃO EXIGIDA PARA HABILITAÇÃO</w:t>
      </w:r>
    </w:p>
    <w:p w14:paraId="00F72593" w14:textId="77777777" w:rsidR="00DE07B0" w:rsidRPr="00CF6D02" w:rsidRDefault="00DE07B0" w:rsidP="00CF6D02">
      <w:pPr>
        <w:jc w:val="both"/>
        <w:rPr>
          <w:rFonts w:ascii="Arial" w:hAnsi="Arial" w:cs="Arial"/>
          <w:b/>
          <w:bCs/>
          <w:sz w:val="22"/>
          <w:szCs w:val="22"/>
        </w:rPr>
      </w:pPr>
      <w:r w:rsidRPr="00CF6D02">
        <w:rPr>
          <w:rFonts w:ascii="Arial" w:hAnsi="Arial" w:cs="Arial"/>
          <w:b/>
          <w:bCs/>
          <w:sz w:val="22"/>
          <w:szCs w:val="22"/>
        </w:rPr>
        <w:t>1. HABILITAÇÃO JURÍDICA</w:t>
      </w:r>
    </w:p>
    <w:p w14:paraId="7174AC08" w14:textId="77777777" w:rsidR="00DE07B0" w:rsidRPr="00CF6D02" w:rsidRDefault="00DE07B0" w:rsidP="00CF6D02">
      <w:pPr>
        <w:jc w:val="both"/>
        <w:rPr>
          <w:rFonts w:ascii="Arial" w:hAnsi="Arial" w:cs="Arial"/>
          <w:sz w:val="22"/>
          <w:szCs w:val="22"/>
        </w:rPr>
      </w:pPr>
      <w:r w:rsidRPr="00CF6D02">
        <w:rPr>
          <w:rFonts w:ascii="Arial" w:hAnsi="Arial" w:cs="Arial"/>
          <w:bCs/>
          <w:sz w:val="22"/>
          <w:szCs w:val="22"/>
        </w:rPr>
        <w:t xml:space="preserve">1.1 </w:t>
      </w:r>
      <w:r w:rsidRPr="00CF6D02">
        <w:rPr>
          <w:rFonts w:ascii="Arial" w:hAnsi="Arial" w:cs="Arial"/>
          <w:sz w:val="22"/>
          <w:szCs w:val="22"/>
        </w:rPr>
        <w:t>Pessoa física: cédula de identidade (RG) ou documento equivalente que, por força de lei, tenha validade para fins de identificação em todo o território nacional.</w:t>
      </w:r>
    </w:p>
    <w:p w14:paraId="12565595"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1.2 Empresário individual: inscrição no Registro Público de Empresas Mercantis, a cargo da Junta Comercial da respectiva sede.</w:t>
      </w:r>
    </w:p>
    <w:p w14:paraId="375D34E3"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 xml:space="preserve">1.3 Microempreendedor Individual - MEI: Certificado da Condição de Microempreendedor Individual - CCMEI, cuja aceitação ficará condicionada à verificação da autenticidade no sítio </w:t>
      </w:r>
      <w:hyperlink r:id="rId4" w:history="1">
        <w:r w:rsidRPr="00CF6D02">
          <w:rPr>
            <w:rStyle w:val="Hyperlink"/>
            <w:rFonts w:ascii="Arial" w:hAnsi="Arial" w:cs="Arial"/>
            <w:sz w:val="22"/>
            <w:szCs w:val="22"/>
          </w:rPr>
          <w:t>www.portaldoempreendedor.gov.br</w:t>
        </w:r>
      </w:hyperlink>
      <w:r w:rsidRPr="00CF6D02">
        <w:rPr>
          <w:rFonts w:ascii="Arial" w:hAnsi="Arial" w:cs="Arial"/>
          <w:sz w:val="22"/>
          <w:szCs w:val="22"/>
        </w:rPr>
        <w:t>.</w:t>
      </w:r>
    </w:p>
    <w:p w14:paraId="0226AD36"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1.4 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5A6C4C28"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1.5 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 ou norma posterior que regule a matéria.</w:t>
      </w:r>
    </w:p>
    <w:p w14:paraId="66B0D4F4"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1.6 Sociedade Simples: inscrição do ato constitutivo no Registro Civil das Pessoas Jurídicas do local de sua sede, acompanhada de prova da indicação dos seus administradores.</w:t>
      </w:r>
    </w:p>
    <w:p w14:paraId="2F3F8748"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1.7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se encontra estabelecida a matriz.</w:t>
      </w:r>
    </w:p>
    <w:p w14:paraId="2CE085D0"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1.8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3C7A386E" w14:textId="77777777" w:rsidR="00DE07B0" w:rsidRPr="00CF6D02" w:rsidRDefault="00DE07B0" w:rsidP="00CF6D02">
      <w:pPr>
        <w:jc w:val="both"/>
        <w:rPr>
          <w:rFonts w:ascii="Arial" w:hAnsi="Arial" w:cs="Arial"/>
          <w:sz w:val="22"/>
          <w:szCs w:val="22"/>
        </w:rPr>
      </w:pPr>
      <w:r w:rsidRPr="00CF6D02">
        <w:rPr>
          <w:rFonts w:ascii="Arial" w:hAnsi="Arial" w:cs="Arial"/>
          <w:bCs/>
          <w:sz w:val="22"/>
          <w:szCs w:val="22"/>
        </w:rPr>
        <w:t>1.9 Quando cabível, os documentos apresentados devem estar acompanhados de todas as alterações ou da consolidação respectiva.</w:t>
      </w:r>
    </w:p>
    <w:p w14:paraId="4F7FFA7B" w14:textId="77777777" w:rsidR="00DE07B0" w:rsidRPr="00CF6D02" w:rsidRDefault="00DE07B0" w:rsidP="00CF6D02">
      <w:pPr>
        <w:jc w:val="both"/>
        <w:rPr>
          <w:rFonts w:ascii="Arial" w:hAnsi="Arial" w:cs="Arial"/>
          <w:b/>
          <w:bCs/>
          <w:sz w:val="22"/>
          <w:szCs w:val="22"/>
        </w:rPr>
      </w:pPr>
      <w:r w:rsidRPr="00CF6D02">
        <w:rPr>
          <w:rFonts w:ascii="Arial" w:hAnsi="Arial" w:cs="Arial"/>
          <w:b/>
          <w:bCs/>
          <w:sz w:val="22"/>
          <w:szCs w:val="22"/>
        </w:rPr>
        <w:t>2. HABILITAÇÃO FISCAL, SOCIAL E TRABALHISTA:</w:t>
      </w:r>
    </w:p>
    <w:p w14:paraId="0607C631"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2.1 Inscrição no Cadastro Nacional de Pessoas Jurídicas ou no Cadastro de Pessoas Físicas, conforme o caso.</w:t>
      </w:r>
    </w:p>
    <w:p w14:paraId="2112CA65"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lastRenderedPageBreak/>
        <w:t xml:space="preserve">2.2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w:t>
      </w:r>
    </w:p>
    <w:p w14:paraId="24DC0404"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2.3 Regularidade com o Fundo de Garantia do Tempo de Serviço (FGTS).</w:t>
      </w:r>
    </w:p>
    <w:p w14:paraId="47C050F0"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2.4 Declaração de que não emprega menor de 18 anos em trabalho noturno, perigoso ou insalubre e não emprega menor de 16 anos, salvo menor, a partir de 14 anos, na condição de aprendiz, nos termos do art. 7°, XXXIII, da Constituição.</w:t>
      </w:r>
    </w:p>
    <w:p w14:paraId="3C7F93F9"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2.5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B16A417" w14:textId="77777777" w:rsidR="00DE07B0" w:rsidRPr="00CF6D02" w:rsidRDefault="00DE07B0" w:rsidP="00CF6D02">
      <w:pPr>
        <w:jc w:val="both"/>
        <w:rPr>
          <w:rFonts w:ascii="Arial" w:hAnsi="Arial" w:cs="Arial"/>
          <w:bCs/>
          <w:sz w:val="22"/>
          <w:szCs w:val="22"/>
        </w:rPr>
      </w:pPr>
      <w:r w:rsidRPr="00CF6D02">
        <w:rPr>
          <w:rFonts w:ascii="Arial" w:hAnsi="Arial" w:cs="Arial"/>
          <w:bCs/>
          <w:sz w:val="22"/>
          <w:szCs w:val="22"/>
        </w:rPr>
        <w:t xml:space="preserve">2.6 Prova de </w:t>
      </w:r>
      <w:r w:rsidRPr="00CF6D02">
        <w:rPr>
          <w:rFonts w:ascii="Arial" w:hAnsi="Arial" w:cs="Arial"/>
          <w:sz w:val="22"/>
          <w:szCs w:val="22"/>
        </w:rPr>
        <w:t>inscrição no cadastro de contribuintes municipal, relativo ao domicílio ou sede do fornecedor, pertinente ao seu ramo de atividade e compatível com o objeto contratual</w:t>
      </w:r>
      <w:r w:rsidRPr="00CF6D02">
        <w:rPr>
          <w:rFonts w:ascii="Arial" w:hAnsi="Arial" w:cs="Arial"/>
          <w:bCs/>
          <w:sz w:val="22"/>
          <w:szCs w:val="22"/>
        </w:rPr>
        <w:t>.</w:t>
      </w:r>
    </w:p>
    <w:p w14:paraId="65F70F3E" w14:textId="77777777" w:rsidR="00DE07B0" w:rsidRPr="00CF6D02" w:rsidRDefault="00DE07B0" w:rsidP="00CF6D02">
      <w:pPr>
        <w:jc w:val="both"/>
        <w:rPr>
          <w:rFonts w:ascii="Arial" w:hAnsi="Arial" w:cs="Arial"/>
          <w:sz w:val="22"/>
          <w:szCs w:val="22"/>
        </w:rPr>
      </w:pPr>
      <w:r w:rsidRPr="00CF6D02">
        <w:rPr>
          <w:rFonts w:ascii="Arial" w:hAnsi="Arial" w:cs="Arial"/>
          <w:bCs/>
          <w:sz w:val="22"/>
          <w:szCs w:val="22"/>
        </w:rPr>
        <w:t xml:space="preserve">2.6.1 O fornecedor enquadrado como microempreendedor individual que pretenda auferir os benefícios do tratamento diferenciado previstos na </w:t>
      </w:r>
      <w:hyperlink r:id="rId5" w:history="1">
        <w:r w:rsidRPr="00CF6D02">
          <w:rPr>
            <w:rStyle w:val="Hyperlink"/>
            <w:rFonts w:ascii="Arial" w:hAnsi="Arial" w:cs="Arial"/>
            <w:bCs/>
            <w:sz w:val="22"/>
            <w:szCs w:val="22"/>
          </w:rPr>
          <w:t>Lei Complementar nº 123/2006</w:t>
        </w:r>
      </w:hyperlink>
      <w:r w:rsidRPr="00CF6D02">
        <w:rPr>
          <w:rFonts w:ascii="Arial" w:hAnsi="Arial" w:cs="Arial"/>
          <w:bCs/>
          <w:sz w:val="22"/>
          <w:szCs w:val="22"/>
        </w:rPr>
        <w:t xml:space="preserve">, estará dispensado da prova de inscrição nos cadastros de contribuintes estadual e municipal, eis que a </w:t>
      </w:r>
      <w:r w:rsidRPr="00CF6D02">
        <w:rPr>
          <w:rFonts w:ascii="Arial" w:hAnsi="Arial" w:cs="Arial"/>
          <w:sz w:val="22"/>
          <w:szCs w:val="22"/>
        </w:rPr>
        <w:t>apresentação do Certificado de Condição de Microempreendedor Individual – CCMEI supre tais requisitos.</w:t>
      </w:r>
    </w:p>
    <w:p w14:paraId="66D29FAC"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2.7 Prova de regularidade com a Fazenda do Estado do Rio de Janeiro, mediante a apresentação de:</w:t>
      </w:r>
    </w:p>
    <w:p w14:paraId="735D6B95"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2.7.1 Certidão Negativa de Débitos, ou Certidão Positiva com efeito de Negativa, expedida pela Secretaria de Estado de Fazenda; e 2.7.2 Certidão Negativa de Débitos em Dívida Ativa, ou Certidão Positiva com efeito de Negativa, para fins de participação em licitação, expedida pela Procuradoria Geral do Estado.</w:t>
      </w:r>
    </w:p>
    <w:p w14:paraId="1649C4F9" w14:textId="5956D605" w:rsidR="00DE07B0" w:rsidRPr="00CF6D02" w:rsidRDefault="00DE07B0" w:rsidP="00CF6D02">
      <w:pPr>
        <w:jc w:val="both"/>
        <w:rPr>
          <w:rFonts w:ascii="Arial" w:hAnsi="Arial" w:cs="Arial"/>
          <w:sz w:val="22"/>
          <w:szCs w:val="22"/>
        </w:rPr>
      </w:pPr>
      <w:r w:rsidRPr="00CF6D02">
        <w:rPr>
          <w:rFonts w:ascii="Arial" w:hAnsi="Arial" w:cs="Arial"/>
          <w:sz w:val="22"/>
          <w:szCs w:val="22"/>
        </w:rPr>
        <w:t>2.8 Regularidade com a Fazenda Municipal do domicílio ou sede do fornecedor, relativa à atividade em cujo exercício contrata ou concorre, com a apresentação de Certidão Negativa de Débitos, ou Certidão Positiva com efeito de Negativa do Imposto sobre Serviços de Qualquer Natureza – ISS.</w:t>
      </w:r>
    </w:p>
    <w:p w14:paraId="19A6466C"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 xml:space="preserve">2.9 Caso o fornecedor seja considerado isento dos tributos </w:t>
      </w:r>
      <w:r w:rsidRPr="00CF6D02">
        <w:rPr>
          <w:rFonts w:ascii="Arial" w:hAnsi="Arial" w:cs="Arial"/>
          <w:iCs/>
          <w:sz w:val="22"/>
          <w:szCs w:val="22"/>
        </w:rPr>
        <w:t>municipais</w:t>
      </w:r>
      <w:r w:rsidRPr="00CF6D02">
        <w:rPr>
          <w:rFonts w:ascii="Arial" w:hAnsi="Arial" w:cs="Arial"/>
          <w:sz w:val="22"/>
          <w:szCs w:val="22"/>
        </w:rPr>
        <w:t xml:space="preserve"> relacionados ao objeto contratual, deverá comprovar tal condição mediante a apresentação de declaração da Fazenda respectiva do seu domicílio ou sede, ou outra equivalente, na forma da lei.</w:t>
      </w:r>
    </w:p>
    <w:p w14:paraId="5FBA6D47" w14:textId="77777777" w:rsidR="00DE07B0" w:rsidRPr="00CF6D02" w:rsidRDefault="00DE07B0" w:rsidP="00CF6D02">
      <w:pPr>
        <w:jc w:val="both"/>
        <w:rPr>
          <w:rFonts w:ascii="Arial" w:hAnsi="Arial" w:cs="Arial"/>
          <w:sz w:val="22"/>
          <w:szCs w:val="22"/>
        </w:rPr>
      </w:pPr>
      <w:bookmarkStart w:id="0" w:name="_Hlk178775808"/>
      <w:r w:rsidRPr="00CF6D02">
        <w:rPr>
          <w:rFonts w:ascii="Arial" w:hAnsi="Arial" w:cs="Arial"/>
          <w:bCs/>
          <w:sz w:val="22"/>
          <w:szCs w:val="22"/>
        </w:rPr>
        <w:t>2.10</w:t>
      </w:r>
      <w:r w:rsidRPr="00CF6D02">
        <w:rPr>
          <w:rFonts w:ascii="Arial" w:hAnsi="Arial" w:cs="Arial"/>
          <w:b/>
          <w:sz w:val="22"/>
          <w:szCs w:val="22"/>
        </w:rPr>
        <w:t xml:space="preserve"> </w:t>
      </w:r>
      <w:r w:rsidRPr="00CF6D02">
        <w:rPr>
          <w:rFonts w:ascii="Arial" w:hAnsi="Arial" w:cs="Arial"/>
          <w:sz w:val="22"/>
          <w:szCs w:val="22"/>
        </w:rPr>
        <w:t>Na hipótese de cuidar-se de microempresa ou de empresa de pequeno porte, na forma do art. 42 da Lei Complementar nº 123/2006, a documentação somente será exigida para efeito de assinatura do contrato, caso se sagre vencedora no certame.</w:t>
      </w:r>
    </w:p>
    <w:p w14:paraId="0DE338BA"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 xml:space="preserve">2.10.1 Em sendo declarada vencedora do certame microempresa ou empresa de pequeno porte com débitos fiscais e trabalhistas, ficará assegurado, a partir de então, o prazo de 5 (cinco) dias úteis para a regularização da documentação, pagamento ou </w:t>
      </w:r>
      <w:r w:rsidRPr="00CF6D02">
        <w:rPr>
          <w:rFonts w:ascii="Arial" w:hAnsi="Arial" w:cs="Arial"/>
          <w:sz w:val="22"/>
          <w:szCs w:val="22"/>
        </w:rPr>
        <w:lastRenderedPageBreak/>
        <w:t xml:space="preserve">parcelamento do débito, e emissão de eventuais certidões negativas ou positivas com efeito de negativas, na forma do art. 43, § 1º, da Lei Complementar nº 123/2006. </w:t>
      </w:r>
    </w:p>
    <w:bookmarkEnd w:id="0"/>
    <w:p w14:paraId="6D4BE951"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2.10.2 O prazo acima poderá ser prorrogado por igual período, a critério exclusivo da Administração Pública.</w:t>
      </w:r>
    </w:p>
    <w:p w14:paraId="5C746FB8" w14:textId="77777777" w:rsidR="00DE07B0" w:rsidRPr="00CF6D02" w:rsidRDefault="00DE07B0" w:rsidP="00CF6D02">
      <w:pPr>
        <w:jc w:val="both"/>
        <w:rPr>
          <w:rFonts w:ascii="Arial" w:hAnsi="Arial" w:cs="Arial"/>
          <w:sz w:val="22"/>
          <w:szCs w:val="22"/>
        </w:rPr>
      </w:pPr>
      <w:bookmarkStart w:id="1" w:name="_Hlk178775828"/>
      <w:r w:rsidRPr="00CF6D02">
        <w:rPr>
          <w:rFonts w:ascii="Arial" w:hAnsi="Arial" w:cs="Arial"/>
          <w:bCs/>
          <w:sz w:val="22"/>
          <w:szCs w:val="22"/>
        </w:rPr>
        <w:t xml:space="preserve">2.10.3 </w:t>
      </w:r>
      <w:r w:rsidRPr="00CF6D02">
        <w:rPr>
          <w:rFonts w:ascii="Arial" w:hAnsi="Arial" w:cs="Arial"/>
          <w:sz w:val="22"/>
          <w:szCs w:val="22"/>
        </w:rPr>
        <w:t xml:space="preserve">A não regularização da documentação no prazo estipulado implicará a decadência do direito à contratação, na forma do § 2º do art. 43 da Lei Complementar nº 123/2006, sem prejuízo da aplicação das sanções previstas neste Edital. </w:t>
      </w:r>
    </w:p>
    <w:bookmarkEnd w:id="1"/>
    <w:p w14:paraId="5B5B5EC8" w14:textId="77777777" w:rsidR="00DE07B0" w:rsidRPr="00CF6D02" w:rsidRDefault="00DE07B0" w:rsidP="00CF6D02">
      <w:pPr>
        <w:jc w:val="both"/>
        <w:rPr>
          <w:rFonts w:ascii="Arial" w:hAnsi="Arial" w:cs="Arial"/>
          <w:sz w:val="22"/>
          <w:szCs w:val="22"/>
        </w:rPr>
      </w:pPr>
      <w:r w:rsidRPr="00CF6D02">
        <w:rPr>
          <w:rFonts w:ascii="Arial" w:hAnsi="Arial" w:cs="Arial"/>
          <w:b/>
          <w:bCs/>
          <w:sz w:val="22"/>
          <w:szCs w:val="22"/>
        </w:rPr>
        <w:t xml:space="preserve">3. HABILITAÇÃO ECONÔMICO-FINANCEIRA: </w:t>
      </w:r>
    </w:p>
    <w:p w14:paraId="293E8C4E"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3.1 Certidão negativa de falência expedida pelo distribuidor da sede do fornecedor, caso se trate de pessoa jurídica, ou certidão negativa de insolvência civil expedida pelo distribuidor do domicílio ou sede do fornecedor, caso se trate de pessoa física</w:t>
      </w:r>
      <w:hyperlink r:id="rId6" w:anchor="art5" w:history="1">
        <w:r w:rsidRPr="00CF6D02">
          <w:rPr>
            <w:rStyle w:val="Hyperlink"/>
            <w:rFonts w:ascii="Arial" w:hAnsi="Arial" w:cs="Arial"/>
            <w:sz w:val="22"/>
            <w:szCs w:val="22"/>
          </w:rPr>
          <w:t xml:space="preserve"> </w:t>
        </w:r>
      </w:hyperlink>
      <w:r w:rsidRPr="00CF6D02">
        <w:rPr>
          <w:rFonts w:ascii="Arial" w:hAnsi="Arial" w:cs="Arial"/>
          <w:sz w:val="22"/>
          <w:szCs w:val="22"/>
        </w:rPr>
        <w:t xml:space="preserve"> ou de sociedade simples.</w:t>
      </w:r>
    </w:p>
    <w:p w14:paraId="1A0028E3" w14:textId="77777777" w:rsidR="00DE07B0" w:rsidRPr="00CF6D02" w:rsidRDefault="00DE07B0" w:rsidP="00CF6D02">
      <w:pPr>
        <w:jc w:val="both"/>
        <w:rPr>
          <w:rFonts w:ascii="Arial" w:hAnsi="Arial" w:cs="Arial"/>
          <w:sz w:val="22"/>
          <w:szCs w:val="22"/>
        </w:rPr>
      </w:pPr>
      <w:bookmarkStart w:id="2" w:name="_Hlk154232471"/>
      <w:r w:rsidRPr="00CF6D02">
        <w:rPr>
          <w:rFonts w:ascii="Arial" w:hAnsi="Arial" w:cs="Arial"/>
          <w:sz w:val="22"/>
          <w:szCs w:val="22"/>
        </w:rPr>
        <w:t>3.1.1 Não será causa de inabilitação do licitante a anotação de distribuição de processo de recuperação judicial ou de pedido de homologação de recuperação extrajudicial.</w:t>
      </w:r>
    </w:p>
    <w:bookmarkEnd w:id="2"/>
    <w:p w14:paraId="5FA36B4D"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3.2 Balanço patrimonial, demonstração de resultado de exercício e demais demonstrações contábeis dos 2 (dois) últimos exercícios sociais, vedada a sua substituição por balancetes ou balanços provisórios.</w:t>
      </w:r>
    </w:p>
    <w:p w14:paraId="2370A487" w14:textId="58EEE3BB" w:rsidR="00DE07B0" w:rsidRPr="00CF6D02" w:rsidRDefault="00DE07B0" w:rsidP="00CF6D02">
      <w:pPr>
        <w:jc w:val="both"/>
        <w:rPr>
          <w:rFonts w:ascii="Arial" w:hAnsi="Arial" w:cs="Arial"/>
          <w:sz w:val="22"/>
          <w:szCs w:val="22"/>
        </w:rPr>
      </w:pPr>
      <w:r w:rsidRPr="00CF6D02">
        <w:rPr>
          <w:rFonts w:ascii="Arial" w:hAnsi="Arial" w:cs="Arial"/>
          <w:sz w:val="22"/>
          <w:szCs w:val="22"/>
        </w:rPr>
        <w:t>3.2.1 Os documentos referidos acima limitar-se-ão ao último exercício social no caso de a pessoa jurídica ter sido constituída há menos de 2 (dois) anos.</w:t>
      </w:r>
    </w:p>
    <w:p w14:paraId="3268B48F"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3.2.2 Os fornecedores criados no exercício financeiro da contratação deverão atender a todas as exigências da habilitação e ficam autorizados a substituir os demonstrativos contábeis pelo balanço de abertura;</w:t>
      </w:r>
    </w:p>
    <w:p w14:paraId="373FD8B7"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3.2.2.1 Poderá ser apresentado o balanço intermediário, caso autorizado por lei ou pelo contrato/estatuto social.</w:t>
      </w:r>
    </w:p>
    <w:p w14:paraId="1D752FF3"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3.2.3 Caso o fornecedor seja cooperativa, o balanço e as demais demonstrações contáveis deverão ser acompanhados de cópia do parecer da última auditoria contábil-financeira, conforme dispõe o</w:t>
      </w:r>
      <w:hyperlink r:id="rId7" w:anchor=":~:text=LEI%20N%C2%BA%205.764%2C%20DE%2016,cooperativas%2C%20e%20d%C3%A1%20outras%20provid%C3%AAncias" w:history="1">
        <w:r w:rsidRPr="00CF6D02">
          <w:rPr>
            <w:rStyle w:val="Hyperlink"/>
            <w:rFonts w:ascii="Arial" w:hAnsi="Arial" w:cs="Arial"/>
            <w:sz w:val="22"/>
            <w:szCs w:val="22"/>
          </w:rPr>
          <w:t xml:space="preserve"> </w:t>
        </w:r>
      </w:hyperlink>
      <w:hyperlink r:id="rId8" w:anchor=":~:text=LEI%20N%C2%BA%205.764%2C%20DE%2016,cooperativas%2C%20e%20d%C3%A1%20outras%20provid%C3%AAncias" w:history="1">
        <w:r w:rsidRPr="00CF6D02">
          <w:rPr>
            <w:rStyle w:val="Hyperlink"/>
            <w:rFonts w:ascii="Arial" w:hAnsi="Arial" w:cs="Arial"/>
            <w:sz w:val="22"/>
            <w:szCs w:val="22"/>
          </w:rPr>
          <w:t>art. 112 da Lei nº 5.764/1971</w:t>
        </w:r>
      </w:hyperlink>
      <w:r w:rsidRPr="00CF6D02">
        <w:rPr>
          <w:rFonts w:ascii="Arial" w:hAnsi="Arial" w:cs="Arial"/>
          <w:sz w:val="22"/>
          <w:szCs w:val="22"/>
        </w:rPr>
        <w:t>, ou de uma declaração, sob as penas da lei, de que tal auditoria não foi exigida pelo órgão fiscalizador.</w:t>
      </w:r>
    </w:p>
    <w:p w14:paraId="7C20EC7D"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3.2.4 Para fins de habilitação econômico-financeira de sociedade empresária em recuperação judicial deverão ser considerados os valores constantes no Plano de Recuperação Judicial, homologado pelo Juízo competente, para fins de apuração dos índices contábeis previstos no edital.</w:t>
      </w:r>
    </w:p>
    <w:p w14:paraId="0304197A"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 xml:space="preserve">3.3 Comprovação da boa situação financeira da empresa mediante obtenção de índices de Liquidez Geral (LG), Solvência Geral (SG) e Liquidez Corrente (LC), iguais ou superiores a 1 (um), obtidos pela aplicação das seguintes fórmulas: </w:t>
      </w:r>
    </w:p>
    <w:tbl>
      <w:tblPr>
        <w:tblW w:w="0" w:type="auto"/>
        <w:tblInd w:w="1134" w:type="dxa"/>
        <w:tblLook w:val="04A0" w:firstRow="1" w:lastRow="0" w:firstColumn="1" w:lastColumn="0" w:noHBand="0" w:noVBand="1"/>
      </w:tblPr>
      <w:tblGrid>
        <w:gridCol w:w="2235"/>
        <w:gridCol w:w="4252"/>
        <w:gridCol w:w="142"/>
      </w:tblGrid>
      <w:tr w:rsidR="00DE07B0" w:rsidRPr="00CF6D02" w14:paraId="3CB0CD23" w14:textId="77777777" w:rsidTr="00DE07B0">
        <w:trPr>
          <w:gridAfter w:val="1"/>
          <w:wAfter w:w="142" w:type="dxa"/>
        </w:trPr>
        <w:tc>
          <w:tcPr>
            <w:tcW w:w="2235" w:type="dxa"/>
            <w:vMerge w:val="restart"/>
            <w:vAlign w:val="center"/>
            <w:hideMark/>
          </w:tcPr>
          <w:p w14:paraId="19C2DAA4"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LG =</w:t>
            </w:r>
          </w:p>
        </w:tc>
        <w:tc>
          <w:tcPr>
            <w:tcW w:w="4252" w:type="dxa"/>
            <w:tcBorders>
              <w:top w:val="nil"/>
              <w:left w:val="nil"/>
              <w:bottom w:val="single" w:sz="4" w:space="0" w:color="auto"/>
              <w:right w:val="nil"/>
            </w:tcBorders>
            <w:vAlign w:val="bottom"/>
            <w:hideMark/>
          </w:tcPr>
          <w:p w14:paraId="634A83D7"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Ativo Circulante + Realizável a Longo Prazo</w:t>
            </w:r>
          </w:p>
        </w:tc>
      </w:tr>
      <w:tr w:rsidR="00DE07B0" w:rsidRPr="00CF6D02" w14:paraId="5A0EEA43" w14:textId="77777777" w:rsidTr="00DE07B0">
        <w:trPr>
          <w:gridAfter w:val="1"/>
          <w:wAfter w:w="142" w:type="dxa"/>
        </w:trPr>
        <w:tc>
          <w:tcPr>
            <w:tcW w:w="0" w:type="auto"/>
            <w:vMerge/>
            <w:vAlign w:val="center"/>
            <w:hideMark/>
          </w:tcPr>
          <w:p w14:paraId="65BA7F1F" w14:textId="77777777" w:rsidR="00DE07B0" w:rsidRPr="00CF6D02" w:rsidRDefault="00DE07B0" w:rsidP="00CF6D02">
            <w:pPr>
              <w:jc w:val="both"/>
              <w:rPr>
                <w:rFonts w:ascii="Arial" w:hAnsi="Arial" w:cs="Arial"/>
                <w:sz w:val="22"/>
                <w:szCs w:val="22"/>
              </w:rPr>
            </w:pPr>
          </w:p>
        </w:tc>
        <w:tc>
          <w:tcPr>
            <w:tcW w:w="4252" w:type="dxa"/>
            <w:tcBorders>
              <w:top w:val="single" w:sz="4" w:space="0" w:color="auto"/>
              <w:left w:val="nil"/>
              <w:bottom w:val="nil"/>
              <w:right w:val="nil"/>
            </w:tcBorders>
            <w:hideMark/>
          </w:tcPr>
          <w:p w14:paraId="3EABA613"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Passivo Circulante + Passivo Não Circulante</w:t>
            </w:r>
          </w:p>
        </w:tc>
      </w:tr>
      <w:tr w:rsidR="00DE07B0" w:rsidRPr="00CF6D02" w14:paraId="3223F91E" w14:textId="77777777" w:rsidTr="00DE07B0">
        <w:trPr>
          <w:cantSplit/>
        </w:trPr>
        <w:tc>
          <w:tcPr>
            <w:tcW w:w="2235" w:type="dxa"/>
            <w:vMerge w:val="restart"/>
            <w:vAlign w:val="center"/>
            <w:hideMark/>
          </w:tcPr>
          <w:p w14:paraId="286650DB"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lastRenderedPageBreak/>
              <w:t>SG =</w:t>
            </w:r>
          </w:p>
        </w:tc>
        <w:tc>
          <w:tcPr>
            <w:tcW w:w="4394" w:type="dxa"/>
            <w:gridSpan w:val="2"/>
            <w:tcBorders>
              <w:top w:val="nil"/>
              <w:left w:val="nil"/>
              <w:bottom w:val="single" w:sz="4" w:space="0" w:color="auto"/>
              <w:right w:val="nil"/>
            </w:tcBorders>
            <w:vAlign w:val="bottom"/>
            <w:hideMark/>
          </w:tcPr>
          <w:p w14:paraId="7838B27A"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Ativo Total</w:t>
            </w:r>
          </w:p>
        </w:tc>
      </w:tr>
      <w:tr w:rsidR="00DE07B0" w:rsidRPr="00CF6D02" w14:paraId="234DA3F4" w14:textId="77777777" w:rsidTr="00DE07B0">
        <w:trPr>
          <w:cantSplit/>
        </w:trPr>
        <w:tc>
          <w:tcPr>
            <w:tcW w:w="0" w:type="auto"/>
            <w:vMerge/>
            <w:vAlign w:val="center"/>
            <w:hideMark/>
          </w:tcPr>
          <w:p w14:paraId="2918C50C" w14:textId="77777777" w:rsidR="00DE07B0" w:rsidRPr="00CF6D02" w:rsidRDefault="00DE07B0" w:rsidP="00CF6D02">
            <w:pPr>
              <w:jc w:val="both"/>
              <w:rPr>
                <w:rFonts w:ascii="Arial" w:hAnsi="Arial" w:cs="Arial"/>
                <w:sz w:val="22"/>
                <w:szCs w:val="22"/>
              </w:rPr>
            </w:pPr>
          </w:p>
        </w:tc>
        <w:tc>
          <w:tcPr>
            <w:tcW w:w="4394" w:type="dxa"/>
            <w:gridSpan w:val="2"/>
            <w:tcBorders>
              <w:top w:val="single" w:sz="4" w:space="0" w:color="auto"/>
              <w:left w:val="nil"/>
              <w:bottom w:val="nil"/>
              <w:right w:val="nil"/>
            </w:tcBorders>
            <w:hideMark/>
          </w:tcPr>
          <w:p w14:paraId="364C2C56"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Passivo Circulante + Passivo Não Circulante</w:t>
            </w:r>
          </w:p>
        </w:tc>
      </w:tr>
    </w:tbl>
    <w:p w14:paraId="749790C5" w14:textId="77777777" w:rsidR="00DE07B0" w:rsidRPr="00CF6D02" w:rsidRDefault="00DE07B0" w:rsidP="00CF6D02">
      <w:pPr>
        <w:jc w:val="both"/>
        <w:rPr>
          <w:rFonts w:ascii="Arial" w:hAnsi="Arial" w:cs="Arial"/>
          <w:sz w:val="22"/>
          <w:szCs w:val="22"/>
        </w:rPr>
      </w:pPr>
    </w:p>
    <w:tbl>
      <w:tblPr>
        <w:tblW w:w="0" w:type="auto"/>
        <w:tblInd w:w="1134" w:type="dxa"/>
        <w:tblLook w:val="04A0" w:firstRow="1" w:lastRow="0" w:firstColumn="1" w:lastColumn="0" w:noHBand="0" w:noVBand="1"/>
      </w:tblPr>
      <w:tblGrid>
        <w:gridCol w:w="2235"/>
        <w:gridCol w:w="2551"/>
      </w:tblGrid>
      <w:tr w:rsidR="00DE07B0" w:rsidRPr="00CF6D02" w14:paraId="10357DBC" w14:textId="77777777" w:rsidTr="00DE07B0">
        <w:tc>
          <w:tcPr>
            <w:tcW w:w="2235" w:type="dxa"/>
            <w:vMerge w:val="restart"/>
            <w:vAlign w:val="center"/>
            <w:hideMark/>
          </w:tcPr>
          <w:p w14:paraId="7599BA31"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LC =</w:t>
            </w:r>
          </w:p>
        </w:tc>
        <w:tc>
          <w:tcPr>
            <w:tcW w:w="2551" w:type="dxa"/>
            <w:tcBorders>
              <w:top w:val="nil"/>
              <w:left w:val="nil"/>
              <w:bottom w:val="single" w:sz="4" w:space="0" w:color="auto"/>
              <w:right w:val="nil"/>
            </w:tcBorders>
            <w:vAlign w:val="bottom"/>
            <w:hideMark/>
          </w:tcPr>
          <w:p w14:paraId="2588E7E8"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Ativo Circulante</w:t>
            </w:r>
          </w:p>
        </w:tc>
      </w:tr>
      <w:tr w:rsidR="00DE07B0" w:rsidRPr="00CF6D02" w14:paraId="7D968275" w14:textId="77777777" w:rsidTr="00DE07B0">
        <w:tc>
          <w:tcPr>
            <w:tcW w:w="0" w:type="auto"/>
            <w:vMerge/>
            <w:vAlign w:val="center"/>
            <w:hideMark/>
          </w:tcPr>
          <w:p w14:paraId="6F254F97" w14:textId="77777777" w:rsidR="00DE07B0" w:rsidRPr="00CF6D02" w:rsidRDefault="00DE07B0" w:rsidP="00CF6D02">
            <w:pPr>
              <w:jc w:val="both"/>
              <w:rPr>
                <w:rFonts w:ascii="Arial" w:hAnsi="Arial" w:cs="Arial"/>
                <w:sz w:val="22"/>
                <w:szCs w:val="22"/>
              </w:rPr>
            </w:pPr>
          </w:p>
        </w:tc>
        <w:tc>
          <w:tcPr>
            <w:tcW w:w="2551" w:type="dxa"/>
            <w:tcBorders>
              <w:top w:val="single" w:sz="4" w:space="0" w:color="auto"/>
              <w:left w:val="nil"/>
              <w:bottom w:val="nil"/>
              <w:right w:val="nil"/>
            </w:tcBorders>
            <w:hideMark/>
          </w:tcPr>
          <w:p w14:paraId="056B39D6"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Passivo Circulante</w:t>
            </w:r>
          </w:p>
        </w:tc>
      </w:tr>
    </w:tbl>
    <w:p w14:paraId="1217B9CB" w14:textId="77777777" w:rsidR="00DE07B0" w:rsidRPr="00CF6D02" w:rsidRDefault="00DE07B0" w:rsidP="00CF6D02">
      <w:pPr>
        <w:jc w:val="both"/>
        <w:rPr>
          <w:rFonts w:ascii="Arial" w:hAnsi="Arial" w:cs="Arial"/>
          <w:sz w:val="22"/>
          <w:szCs w:val="22"/>
        </w:rPr>
      </w:pPr>
    </w:p>
    <w:p w14:paraId="333F5AD1" w14:textId="5B9D01CC" w:rsidR="00DE07B0" w:rsidRPr="00CF6D02" w:rsidRDefault="00DE07B0" w:rsidP="00CF6D02">
      <w:pPr>
        <w:jc w:val="both"/>
        <w:rPr>
          <w:rFonts w:ascii="Arial" w:hAnsi="Arial" w:cs="Arial"/>
          <w:sz w:val="22"/>
          <w:szCs w:val="22"/>
        </w:rPr>
      </w:pPr>
      <w:r w:rsidRPr="00CF6D02">
        <w:rPr>
          <w:rFonts w:ascii="Arial" w:hAnsi="Arial" w:cs="Arial"/>
          <w:sz w:val="22"/>
          <w:szCs w:val="22"/>
        </w:rPr>
        <w:t xml:space="preserve">3.3.1 Caso seja apresentado resultado inferior ou igual a 1(um) em qualquer dos índices de Liquidez Geral (LG), Solvência Geral (SG) e Liquidez Corrente (LC), deverá ser comprovado capital ou patrimônio líquido mínimo de </w:t>
      </w:r>
      <w:r w:rsidR="00CF6D02" w:rsidRPr="00CF6D02">
        <w:rPr>
          <w:rFonts w:ascii="Arial" w:hAnsi="Arial" w:cs="Arial"/>
          <w:sz w:val="22"/>
          <w:szCs w:val="22"/>
        </w:rPr>
        <w:t>10% (dez por centos</w:t>
      </w:r>
      <w:r w:rsidRPr="00CF6D02">
        <w:rPr>
          <w:rFonts w:ascii="Arial" w:hAnsi="Arial" w:cs="Arial"/>
          <w:sz w:val="22"/>
          <w:szCs w:val="22"/>
        </w:rPr>
        <w:t>) do valor total estimado da contratação ou do item pertinente.</w:t>
      </w:r>
    </w:p>
    <w:p w14:paraId="6BBBC98A"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3.3.2 O atendimento dos índices econômicos previstos neste item deverá ser atestado mediante declaração assinada por profissional habilitado da área contábil, apresentada pelo fornecedor.</w:t>
      </w:r>
    </w:p>
    <w:p w14:paraId="78B60576" w14:textId="77777777" w:rsidR="00DE07B0" w:rsidRPr="00CF6D02" w:rsidRDefault="00DE07B0" w:rsidP="00CF6D02">
      <w:pPr>
        <w:jc w:val="both"/>
        <w:rPr>
          <w:rFonts w:ascii="Arial" w:hAnsi="Arial" w:cs="Arial"/>
          <w:b/>
          <w:bCs/>
          <w:sz w:val="22"/>
          <w:szCs w:val="22"/>
        </w:rPr>
      </w:pPr>
      <w:r w:rsidRPr="00CF6D02">
        <w:rPr>
          <w:rFonts w:ascii="Arial" w:hAnsi="Arial" w:cs="Arial"/>
          <w:b/>
          <w:bCs/>
          <w:sz w:val="22"/>
          <w:szCs w:val="22"/>
        </w:rPr>
        <w:t>4. HABILITAÇÃO TÉCNICA</w:t>
      </w:r>
    </w:p>
    <w:p w14:paraId="66CA0449" w14:textId="77777777" w:rsidR="00DE07B0" w:rsidRPr="00CF6D02" w:rsidRDefault="00DE07B0" w:rsidP="00CF6D02">
      <w:pPr>
        <w:jc w:val="both"/>
        <w:rPr>
          <w:rFonts w:ascii="Arial" w:hAnsi="Arial" w:cs="Arial"/>
          <w:color w:val="EE0000"/>
          <w:sz w:val="22"/>
          <w:szCs w:val="22"/>
        </w:rPr>
      </w:pPr>
      <w:r w:rsidRPr="00CF6D02">
        <w:rPr>
          <w:rFonts w:ascii="Arial" w:hAnsi="Arial" w:cs="Arial"/>
          <w:color w:val="EE0000"/>
          <w:sz w:val="22"/>
          <w:szCs w:val="22"/>
        </w:rPr>
        <w:t xml:space="preserve"> 4.1. Será exigida para habilitação das empresas licitantes a apresentação das cópias dos seguintes documentos, autenticados em Cartório:</w:t>
      </w:r>
    </w:p>
    <w:p w14:paraId="514915B6" w14:textId="77777777" w:rsidR="00DE07B0" w:rsidRPr="00CF6D02" w:rsidRDefault="00DE07B0" w:rsidP="00CF6D02">
      <w:pPr>
        <w:jc w:val="both"/>
        <w:rPr>
          <w:rFonts w:ascii="Arial" w:hAnsi="Arial" w:cs="Arial"/>
          <w:color w:val="EE0000"/>
          <w:sz w:val="22"/>
          <w:szCs w:val="22"/>
        </w:rPr>
      </w:pPr>
      <w:r w:rsidRPr="00CF6D02">
        <w:rPr>
          <w:rFonts w:ascii="Arial" w:hAnsi="Arial" w:cs="Arial"/>
          <w:color w:val="EE0000"/>
          <w:sz w:val="22"/>
          <w:szCs w:val="22"/>
        </w:rPr>
        <w:t xml:space="preserve">4.1.1 Registro ou Inscrição no Conselho Regional de Engenharia, Arquitetura e Agronomia - CREA, válida na data de apresentação da proposta, na modalidade mecânica, em conformidade com o inciso I, art. 67 da Lei nº 14.133/21. Caso o Registro ou Inscrição seja originário do CREA de outra jurisdição, somente será exigido visto do CREA/RJ no momento da contratação; </w:t>
      </w:r>
    </w:p>
    <w:p w14:paraId="02F8A2A9" w14:textId="77777777" w:rsidR="00CF6D02" w:rsidRPr="00CF6D02" w:rsidRDefault="00DE07B0" w:rsidP="00CF6D02">
      <w:pPr>
        <w:jc w:val="both"/>
        <w:rPr>
          <w:rFonts w:ascii="Arial" w:hAnsi="Arial" w:cs="Arial"/>
          <w:color w:val="EE0000"/>
          <w:sz w:val="22"/>
          <w:szCs w:val="22"/>
        </w:rPr>
      </w:pPr>
      <w:r w:rsidRPr="00CF6D02">
        <w:rPr>
          <w:rFonts w:ascii="Arial" w:hAnsi="Arial" w:cs="Arial"/>
          <w:color w:val="EE0000"/>
          <w:sz w:val="22"/>
          <w:szCs w:val="22"/>
        </w:rPr>
        <w:t xml:space="preserve">4.1.2 Declaração de Responsabilidade Técnica, indicando o pessoal adequado e disponível para a realização do objeto da licitação, bem como a qualificação do responsável técnico pela execução do serviço. Tal documentação deverá estar assinada pelo responsável técnico e pelo representante legal da Licitante; </w:t>
      </w:r>
    </w:p>
    <w:p w14:paraId="625AA4FB" w14:textId="5F352260" w:rsidR="00DE07B0" w:rsidRPr="00CF6D02" w:rsidRDefault="00CF6D02" w:rsidP="00CF6D02">
      <w:pPr>
        <w:jc w:val="both"/>
        <w:rPr>
          <w:rFonts w:ascii="Arial" w:hAnsi="Arial" w:cs="Arial"/>
          <w:color w:val="EE0000"/>
          <w:sz w:val="22"/>
          <w:szCs w:val="22"/>
        </w:rPr>
      </w:pPr>
      <w:r w:rsidRPr="00CF6D02">
        <w:rPr>
          <w:rFonts w:ascii="Arial" w:hAnsi="Arial" w:cs="Arial"/>
          <w:color w:val="EE0000"/>
          <w:sz w:val="22"/>
          <w:szCs w:val="22"/>
        </w:rPr>
        <w:t>4</w:t>
      </w:r>
      <w:r w:rsidR="00DE07B0" w:rsidRPr="00CF6D02">
        <w:rPr>
          <w:rFonts w:ascii="Arial" w:hAnsi="Arial" w:cs="Arial"/>
          <w:color w:val="EE0000"/>
          <w:sz w:val="22"/>
          <w:szCs w:val="22"/>
        </w:rPr>
        <w:t xml:space="preserve">.1.3 Comprovação de possuir em seu quadro permanente, Engenheiro Eletricista e Mecânico devidamente reconhecido pela entidade competente, detentor de Atestado de Responsabilidade Técnica por execução de serviços de características semelhantes, acompanhado da respectiva Certidão de Acervo Técnico — CAT que comprove ter o profissional executado serviços com características técnicas similares às do objeto da presente licitação, de acordo com o estabelecido no inciso II, do art. 30 da Lei nº 14.133/21; </w:t>
      </w:r>
    </w:p>
    <w:p w14:paraId="7C45A016" w14:textId="77777777" w:rsidR="00DE07B0" w:rsidRPr="00CF6D02" w:rsidRDefault="00DE07B0" w:rsidP="00CF6D02">
      <w:pPr>
        <w:jc w:val="both"/>
        <w:rPr>
          <w:rFonts w:ascii="Arial" w:hAnsi="Arial" w:cs="Arial"/>
          <w:color w:val="EE0000"/>
          <w:sz w:val="22"/>
          <w:szCs w:val="22"/>
        </w:rPr>
      </w:pPr>
      <w:r w:rsidRPr="00CF6D02">
        <w:rPr>
          <w:rFonts w:ascii="Arial" w:hAnsi="Arial" w:cs="Arial"/>
          <w:color w:val="EE0000"/>
          <w:sz w:val="22"/>
          <w:szCs w:val="22"/>
        </w:rPr>
        <w:t xml:space="preserve">4.1.4 Comprovação de que o detentor do referido atestado de responsabilidade técnica é vinculado à licitante deverá ser feita através de cópia de sua ficha de registro de empregado ou da certidão de registro de empregado ou da certidão de registro no CREA ou do contrato particular de prestação do serviço ou do contrato de trabalho por tempo determinado ou outros instrumentos que comprovem a existência de um liame jurídico entre a licitante e o profissional qualificado; </w:t>
      </w:r>
    </w:p>
    <w:p w14:paraId="358B467B" w14:textId="77777777" w:rsidR="00DE07B0" w:rsidRPr="00CF6D02" w:rsidRDefault="00DE07B0" w:rsidP="00CF6D02">
      <w:pPr>
        <w:jc w:val="both"/>
        <w:rPr>
          <w:rFonts w:ascii="Arial" w:hAnsi="Arial" w:cs="Arial"/>
          <w:color w:val="EE0000"/>
          <w:sz w:val="22"/>
          <w:szCs w:val="22"/>
        </w:rPr>
      </w:pPr>
      <w:r w:rsidRPr="00CF6D02">
        <w:rPr>
          <w:rFonts w:ascii="Arial" w:hAnsi="Arial" w:cs="Arial"/>
          <w:color w:val="EE0000"/>
          <w:sz w:val="22"/>
          <w:szCs w:val="22"/>
        </w:rPr>
        <w:lastRenderedPageBreak/>
        <w:t xml:space="preserve">4.1.5 O profissional indicado como responsável técnico, deverá, no início da execução do serviço e durante toda a sua execução, possuir vínculo empregatício com a CONTRATADA, comprovado por meio da juntada da cópia da ficha de registro de empregado, ou da cópia do ato de investidura em cargo de direção, ou da cópia do contrato social ou ainda do contrato civil de prestação de serviços; a fim de comprovar que este profissional pertence ao quadro técnico da empresa, ou é seu diretor ou seu sócio </w:t>
      </w:r>
    </w:p>
    <w:p w14:paraId="2F3EFAFC" w14:textId="77777777" w:rsidR="00DE07B0" w:rsidRPr="00CF6D02" w:rsidRDefault="00DE07B0" w:rsidP="00CF6D02">
      <w:pPr>
        <w:jc w:val="both"/>
        <w:rPr>
          <w:rFonts w:ascii="Arial" w:hAnsi="Arial" w:cs="Arial"/>
          <w:color w:val="EE0000"/>
          <w:sz w:val="22"/>
          <w:szCs w:val="22"/>
        </w:rPr>
      </w:pPr>
      <w:r w:rsidRPr="00CF6D02">
        <w:rPr>
          <w:rFonts w:ascii="Arial" w:hAnsi="Arial" w:cs="Arial"/>
          <w:color w:val="EE0000"/>
          <w:sz w:val="22"/>
          <w:szCs w:val="22"/>
        </w:rPr>
        <w:t xml:space="preserve">4.1.6 Declaração informando a disponibilidade de instalações, equipamentos e materiais adequados para a realização do objeto da licitação; </w:t>
      </w:r>
    </w:p>
    <w:p w14:paraId="1B97A8BC" w14:textId="77777777" w:rsidR="00DE07B0" w:rsidRPr="00CF6D02" w:rsidRDefault="00DE07B0" w:rsidP="00CF6D02">
      <w:pPr>
        <w:jc w:val="both"/>
        <w:rPr>
          <w:rFonts w:ascii="Arial" w:hAnsi="Arial" w:cs="Arial"/>
          <w:color w:val="EE0000"/>
          <w:sz w:val="22"/>
          <w:szCs w:val="22"/>
        </w:rPr>
      </w:pPr>
      <w:r w:rsidRPr="00CF6D02">
        <w:rPr>
          <w:rFonts w:ascii="Arial" w:hAnsi="Arial" w:cs="Arial"/>
          <w:color w:val="EE0000"/>
          <w:sz w:val="22"/>
          <w:szCs w:val="22"/>
        </w:rPr>
        <w:t xml:space="preserve">4.1.7 Atestado de capacidade técnica firmado por órgão do poder público ou por pessoa jurídica de direito privado devidamente registrado no CREA da região de referência, comprovando o licitante ter prestado satisfatoriamente serviços iguais ou similares, de natureza pertinente e compatível ao do objeto desta licitação; </w:t>
      </w:r>
    </w:p>
    <w:p w14:paraId="073A9A70" w14:textId="77777777" w:rsidR="00DE07B0" w:rsidRPr="006470CD" w:rsidRDefault="00DE07B0" w:rsidP="00CF6D02">
      <w:pPr>
        <w:jc w:val="both"/>
        <w:rPr>
          <w:rFonts w:ascii="Arial" w:hAnsi="Arial" w:cs="Arial"/>
          <w:color w:val="EE0000"/>
          <w:sz w:val="22"/>
          <w:szCs w:val="22"/>
        </w:rPr>
      </w:pPr>
      <w:r w:rsidRPr="006470CD">
        <w:rPr>
          <w:rFonts w:ascii="Arial" w:hAnsi="Arial" w:cs="Arial"/>
          <w:color w:val="EE0000"/>
          <w:sz w:val="22"/>
          <w:szCs w:val="22"/>
        </w:rPr>
        <w:t xml:space="preserve">4.1.8 Licença expedida pela RIOLUZ habilitando a empresa para execução de serviços de conservação de elevadores. </w:t>
      </w:r>
    </w:p>
    <w:p w14:paraId="29D24ADB" w14:textId="77777777" w:rsidR="00DE07B0" w:rsidRPr="006470CD" w:rsidRDefault="00DE07B0" w:rsidP="00CF6D02">
      <w:pPr>
        <w:jc w:val="both"/>
        <w:rPr>
          <w:rFonts w:ascii="Arial" w:hAnsi="Arial" w:cs="Arial"/>
          <w:color w:val="EE0000"/>
          <w:sz w:val="22"/>
          <w:szCs w:val="22"/>
        </w:rPr>
      </w:pPr>
      <w:r w:rsidRPr="006470CD">
        <w:rPr>
          <w:rFonts w:ascii="Arial" w:hAnsi="Arial" w:cs="Arial"/>
          <w:color w:val="EE0000"/>
          <w:sz w:val="22"/>
          <w:szCs w:val="22"/>
        </w:rPr>
        <w:t xml:space="preserve">4.1.9 Comprovação da experiência mínima de 03 (três) anos na execução do objeto, sendo aceito o somatório de atestados de períodos diferentes, não havendo obrigatoriedade de os 03 (três) anos serem ininterruptos. </w:t>
      </w:r>
    </w:p>
    <w:p w14:paraId="0E0A1CC8" w14:textId="77777777" w:rsidR="00DE07B0" w:rsidRPr="006470CD" w:rsidRDefault="00DE07B0" w:rsidP="00CF6D02">
      <w:pPr>
        <w:jc w:val="both"/>
        <w:rPr>
          <w:rFonts w:ascii="Arial" w:hAnsi="Arial" w:cs="Arial"/>
          <w:color w:val="EE0000"/>
          <w:sz w:val="22"/>
          <w:szCs w:val="22"/>
        </w:rPr>
      </w:pPr>
      <w:r w:rsidRPr="006470CD">
        <w:rPr>
          <w:rFonts w:ascii="Arial" w:hAnsi="Arial" w:cs="Arial"/>
          <w:color w:val="EE0000"/>
          <w:sz w:val="22"/>
          <w:szCs w:val="22"/>
        </w:rPr>
        <w:t xml:space="preserve">4.1.10 Os atestados deverão referir-se a serviços prestados no âmbito de sua atividade econômica principal ou secundária especificadas no contrato social vigente. </w:t>
      </w:r>
    </w:p>
    <w:p w14:paraId="32A1C066" w14:textId="77777777" w:rsidR="00DE07B0" w:rsidRPr="006470CD" w:rsidRDefault="00DE07B0" w:rsidP="00CF6D02">
      <w:pPr>
        <w:jc w:val="both"/>
        <w:rPr>
          <w:rFonts w:ascii="Arial" w:hAnsi="Arial" w:cs="Arial"/>
          <w:color w:val="EE0000"/>
          <w:sz w:val="22"/>
          <w:szCs w:val="22"/>
        </w:rPr>
      </w:pPr>
      <w:r w:rsidRPr="006470CD">
        <w:rPr>
          <w:rFonts w:ascii="Arial" w:hAnsi="Arial" w:cs="Arial"/>
          <w:color w:val="EE0000"/>
          <w:sz w:val="22"/>
          <w:szCs w:val="22"/>
        </w:rPr>
        <w:t xml:space="preserve">4.1.11 Poderá ser admitida, para fins de comprovação de quantitativo mínimo do serviço, a apresentação de diferentes atestados de serviços executados de forma concomitante, resultando na comprovação de capacidade técnico-operacional de uma única contratação. </w:t>
      </w:r>
    </w:p>
    <w:p w14:paraId="0D8978FD" w14:textId="77777777" w:rsidR="00DE07B0" w:rsidRPr="006470CD" w:rsidRDefault="00DE07B0" w:rsidP="00CF6D02">
      <w:pPr>
        <w:jc w:val="both"/>
        <w:rPr>
          <w:rFonts w:ascii="Arial" w:hAnsi="Arial" w:cs="Arial"/>
          <w:color w:val="EE0000"/>
          <w:sz w:val="22"/>
          <w:szCs w:val="22"/>
        </w:rPr>
      </w:pPr>
      <w:r w:rsidRPr="006470CD">
        <w:rPr>
          <w:rFonts w:ascii="Arial" w:hAnsi="Arial" w:cs="Arial"/>
          <w:color w:val="EE0000"/>
          <w:sz w:val="22"/>
          <w:szCs w:val="22"/>
        </w:rPr>
        <w:t xml:space="preserve">4.1.12 O fornecedor disponibilizará todas as informações necessárias à comprovação da legitimidade dos atestados, dentre outros documentos, cópia do contrato que deu suporte à contratação, endereço atual da contratante e local em que foram prestados os serviços. </w:t>
      </w:r>
    </w:p>
    <w:p w14:paraId="24FB0F29" w14:textId="77777777" w:rsidR="00DE07B0" w:rsidRPr="006470CD" w:rsidRDefault="00DE07B0" w:rsidP="00CF6D02">
      <w:pPr>
        <w:jc w:val="both"/>
        <w:rPr>
          <w:rFonts w:ascii="Arial" w:hAnsi="Arial" w:cs="Arial"/>
          <w:b/>
          <w:bCs/>
          <w:color w:val="EE0000"/>
          <w:sz w:val="22"/>
          <w:szCs w:val="22"/>
        </w:rPr>
      </w:pPr>
      <w:r w:rsidRPr="006470CD">
        <w:rPr>
          <w:rFonts w:ascii="Arial" w:hAnsi="Arial" w:cs="Arial"/>
          <w:color w:val="EE0000"/>
          <w:sz w:val="22"/>
          <w:szCs w:val="22"/>
        </w:rPr>
        <w:t>4.1.13 No decorrer da execução do serviço, os profissionais de que trata este subitem deverão participar da execução do objeto e poderão ser substituídos, nos termos do 67, §6º, da Lei nº 14.133/2021, por profissionais de experiência equivalente ou superior, desde que a substituição seja aprovada pela Administração.</w:t>
      </w:r>
    </w:p>
    <w:p w14:paraId="54E9E281" w14:textId="77777777" w:rsidR="00DE07B0" w:rsidRPr="006470CD" w:rsidRDefault="00DE07B0" w:rsidP="00CF6D02">
      <w:pPr>
        <w:jc w:val="both"/>
        <w:rPr>
          <w:rFonts w:ascii="Arial" w:hAnsi="Arial" w:cs="Arial"/>
          <w:color w:val="EE0000"/>
          <w:sz w:val="22"/>
          <w:szCs w:val="22"/>
        </w:rPr>
      </w:pPr>
      <w:r w:rsidRPr="006470CD">
        <w:rPr>
          <w:rFonts w:ascii="Arial" w:hAnsi="Arial" w:cs="Arial"/>
          <w:color w:val="EE0000"/>
          <w:sz w:val="22"/>
          <w:szCs w:val="22"/>
        </w:rPr>
        <w:t xml:space="preserve">4.1.14 É assegurado o direito de realização de vistoria prévia, de acordo com a(s) data(s) e horário(s) para os eventuais interessados, agendadas pelo órgão licitante, isoladamente, em datas e horários distintos, de forma a impedir a reunião dos diversos interessados em participar do certame. </w:t>
      </w:r>
    </w:p>
    <w:p w14:paraId="35424F5F" w14:textId="6B6B3554" w:rsidR="00DE07B0" w:rsidRPr="006470CD" w:rsidRDefault="00DE07B0" w:rsidP="00CF6D02">
      <w:pPr>
        <w:jc w:val="both"/>
        <w:rPr>
          <w:rFonts w:ascii="Arial" w:hAnsi="Arial" w:cs="Arial"/>
          <w:color w:val="EE0000"/>
          <w:sz w:val="22"/>
          <w:szCs w:val="22"/>
        </w:rPr>
      </w:pPr>
      <w:r w:rsidRPr="006470CD">
        <w:rPr>
          <w:rFonts w:ascii="Arial" w:hAnsi="Arial" w:cs="Arial"/>
          <w:color w:val="EE0000"/>
          <w:sz w:val="22"/>
          <w:szCs w:val="22"/>
        </w:rPr>
        <w:t xml:space="preserve">4.1.15 O agendamento para a realização de vistoria técnica poderá ser feito com o seguinte órgão: </w:t>
      </w:r>
      <w:r w:rsidR="00CF6D02" w:rsidRPr="006470CD">
        <w:rPr>
          <w:rFonts w:ascii="Arial" w:hAnsi="Arial" w:cs="Arial"/>
          <w:color w:val="EE0000"/>
          <w:sz w:val="22"/>
          <w:szCs w:val="22"/>
        </w:rPr>
        <w:t>SECEC,</w:t>
      </w:r>
      <w:r w:rsidRPr="006470CD">
        <w:rPr>
          <w:rFonts w:ascii="Arial" w:hAnsi="Arial" w:cs="Arial"/>
          <w:color w:val="EE0000"/>
          <w:sz w:val="22"/>
          <w:szCs w:val="22"/>
        </w:rPr>
        <w:t xml:space="preserve"> por meio do </w:t>
      </w:r>
      <w:proofErr w:type="spellStart"/>
      <w:r w:rsidR="00E51847" w:rsidRPr="006470CD">
        <w:rPr>
          <w:rFonts w:ascii="Arial" w:hAnsi="Arial" w:cs="Arial"/>
          <w:color w:val="EE0000"/>
          <w:sz w:val="22"/>
          <w:szCs w:val="22"/>
        </w:rPr>
        <w:t>email</w:t>
      </w:r>
      <w:proofErr w:type="spellEnd"/>
      <w:r w:rsidR="00E51847" w:rsidRPr="006470CD">
        <w:rPr>
          <w:rFonts w:ascii="Arial" w:hAnsi="Arial" w:cs="Arial"/>
          <w:color w:val="EE0000"/>
          <w:sz w:val="22"/>
          <w:szCs w:val="22"/>
        </w:rPr>
        <w:t>.</w:t>
      </w:r>
      <w:r w:rsidR="00CF6D02" w:rsidRPr="006470CD">
        <w:rPr>
          <w:rFonts w:ascii="Arial" w:hAnsi="Arial" w:cs="Arial"/>
          <w:i/>
          <w:iCs/>
          <w:color w:val="EE0000"/>
          <w:sz w:val="22"/>
          <w:szCs w:val="22"/>
        </w:rPr>
        <w:t xml:space="preserve"> </w:t>
      </w:r>
      <w:r w:rsidR="00CF6D02" w:rsidRPr="006470CD">
        <w:rPr>
          <w:rFonts w:ascii="Arial" w:hAnsi="Arial" w:cs="Arial"/>
          <w:i/>
          <w:iCs/>
          <w:color w:val="EE0000"/>
          <w:sz w:val="22"/>
          <w:szCs w:val="22"/>
        </w:rPr>
        <w:t>dcp@cultura.rj.gov.br</w:t>
      </w:r>
      <w:r w:rsidR="00CF6D02" w:rsidRPr="006470CD">
        <w:rPr>
          <w:rFonts w:ascii="Arial" w:hAnsi="Arial" w:cs="Arial"/>
          <w:color w:val="EE0000"/>
          <w:sz w:val="22"/>
          <w:szCs w:val="22"/>
        </w:rPr>
        <w:t>, com cópia para o e-mail </w:t>
      </w:r>
      <w:r w:rsidR="00CF6D02" w:rsidRPr="006470CD">
        <w:rPr>
          <w:rFonts w:ascii="Arial" w:hAnsi="Arial" w:cs="Arial"/>
          <w:i/>
          <w:iCs/>
          <w:color w:val="EE0000"/>
          <w:sz w:val="22"/>
          <w:szCs w:val="22"/>
        </w:rPr>
        <w:t>cooea@cultura.rj.gov.br</w:t>
      </w:r>
      <w:r w:rsidRPr="006470CD">
        <w:rPr>
          <w:rFonts w:ascii="Arial" w:hAnsi="Arial" w:cs="Arial"/>
          <w:color w:val="EE0000"/>
          <w:sz w:val="22"/>
          <w:szCs w:val="22"/>
        </w:rPr>
        <w:t>, enviado até 3 (três) dias úteis do início do período das propostas.</w:t>
      </w:r>
    </w:p>
    <w:p w14:paraId="5DC9718C" w14:textId="77777777" w:rsidR="006470CD" w:rsidRDefault="006470CD" w:rsidP="006470CD">
      <w:pPr>
        <w:jc w:val="both"/>
        <w:rPr>
          <w:rFonts w:ascii="Arial" w:hAnsi="Arial" w:cs="Arial"/>
          <w:sz w:val="22"/>
          <w:szCs w:val="22"/>
        </w:rPr>
      </w:pPr>
      <w:r w:rsidRPr="000B743B">
        <w:rPr>
          <w:rFonts w:ascii="Arial" w:hAnsi="Arial" w:cs="Arial"/>
          <w:sz w:val="22"/>
          <w:szCs w:val="22"/>
        </w:rPr>
        <w:lastRenderedPageBreak/>
        <w:t>4.2. Em caso de dúvida fundada suscitada pelo pregoeiro, a Administração poderá solicitar ao licitante, em diligência complementar, todas as informações necessárias à comprovação da legitimidade dos atestados, dentre outros documentos, cópia do contrato que deu suporte à contratação, endereço atual da contratante e local em que foram executados os objetos.</w:t>
      </w:r>
    </w:p>
    <w:p w14:paraId="598295D2" w14:textId="77777777" w:rsidR="00DE07B0" w:rsidRPr="00CF6D02" w:rsidRDefault="00DE07B0" w:rsidP="00CF6D02">
      <w:pPr>
        <w:jc w:val="both"/>
        <w:rPr>
          <w:rFonts w:ascii="Arial" w:hAnsi="Arial" w:cs="Arial"/>
          <w:b/>
          <w:bCs/>
          <w:sz w:val="22"/>
          <w:szCs w:val="22"/>
        </w:rPr>
      </w:pPr>
      <w:bookmarkStart w:id="3" w:name="art63§3"/>
      <w:bookmarkStart w:id="4" w:name="art63§4"/>
      <w:bookmarkEnd w:id="3"/>
      <w:bookmarkEnd w:id="4"/>
      <w:r w:rsidRPr="00CF6D02">
        <w:rPr>
          <w:rFonts w:ascii="Arial" w:hAnsi="Arial" w:cs="Arial"/>
          <w:b/>
          <w:bCs/>
          <w:sz w:val="22"/>
          <w:szCs w:val="22"/>
        </w:rPr>
        <w:t>5. COOPERATIVAS</w:t>
      </w:r>
    </w:p>
    <w:p w14:paraId="5E4D66BB"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5. Em relação às cooperativas será, ainda, exigida a seguinte documentação complementar:</w:t>
      </w:r>
    </w:p>
    <w:p w14:paraId="54E862D0"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5.1.1 Demonstrativo de atuação em regime cooperado, com repartição de receitas e despesas entre os cooperados;</w:t>
      </w:r>
    </w:p>
    <w:p w14:paraId="5ED47F7D"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 xml:space="preserve">5.1.2 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rsidRPr="00CF6D02">
        <w:rPr>
          <w:rFonts w:ascii="Arial" w:hAnsi="Arial" w:cs="Arial"/>
          <w:sz w:val="22"/>
          <w:szCs w:val="22"/>
        </w:rPr>
        <w:t>arts</w:t>
      </w:r>
      <w:proofErr w:type="spellEnd"/>
      <w:r w:rsidRPr="00CF6D02">
        <w:rPr>
          <w:rFonts w:ascii="Arial" w:hAnsi="Arial" w:cs="Arial"/>
          <w:sz w:val="22"/>
          <w:szCs w:val="22"/>
        </w:rPr>
        <w:t>. 4º, inciso XI, 21, inciso I e 42, §§ 2º a 6º, da Lei nº 5.764/1971;</w:t>
      </w:r>
    </w:p>
    <w:p w14:paraId="40AC59DE"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5.1.3 Demonstrativo de que qualquer cooperado, com igual qualificação, é capaz de executar o objeto contratado;</w:t>
      </w:r>
    </w:p>
    <w:p w14:paraId="3CC07216"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5.1.4 A declaração de regularidade de situação do contribuinte individual – DRSCI, para cada um dos cooperados indicados;</w:t>
      </w:r>
    </w:p>
    <w:p w14:paraId="2A477600"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 xml:space="preserve">5.1.5 A comprovação do capital social proporcional ao número de cooperados necessários à prestação do serviço; </w:t>
      </w:r>
    </w:p>
    <w:p w14:paraId="54E0096F"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 xml:space="preserve">5.1.6 O registro previsto na Lei nº 5.764/1971, art. 107; </w:t>
      </w:r>
    </w:p>
    <w:p w14:paraId="15E88381"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5.1.7 A comprovação de integralização das respectivas quotas-partes por parte dos cooperados que executarão o contrato; e</w:t>
      </w:r>
    </w:p>
    <w:p w14:paraId="4FD6A26A"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5.1.8 A última auditoria contábil-financeira da cooperativa, conforme dispõe o art. 112 da Lei nº 5.764/1971 ou uma declaração, sob as penas da lei, de que tal auditoria não foi exigida pelo órgão fiscalizador.</w:t>
      </w:r>
    </w:p>
    <w:p w14:paraId="3E0449D0"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 xml:space="preserve">5.2   Não será admitida participação de cooperativas de trabalho: </w:t>
      </w:r>
    </w:p>
    <w:p w14:paraId="52A1FF8A"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 xml:space="preserve">a) fornecedoras de mão de obra, ou que realizam intermediação de mão de obra subordinada, mas apenas as prestadoras de serviços por intermédio dos próprios cooperados; ou </w:t>
      </w:r>
    </w:p>
    <w:p w14:paraId="2F707B01"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 xml:space="preserve">b) cujos atos constitutivos não definam com precisão a natureza dos serviços que se propõem a prestar. </w:t>
      </w:r>
    </w:p>
    <w:p w14:paraId="6AF03AF1" w14:textId="77777777" w:rsidR="00DE07B0" w:rsidRPr="00CF6D02" w:rsidRDefault="00DE07B0" w:rsidP="00CF6D02">
      <w:pPr>
        <w:jc w:val="both"/>
        <w:rPr>
          <w:rFonts w:ascii="Arial" w:hAnsi="Arial" w:cs="Arial"/>
          <w:sz w:val="22"/>
          <w:szCs w:val="22"/>
        </w:rPr>
      </w:pPr>
      <w:r w:rsidRPr="00CF6D02">
        <w:rPr>
          <w:rFonts w:ascii="Arial" w:hAnsi="Arial" w:cs="Arial"/>
          <w:sz w:val="22"/>
          <w:szCs w:val="22"/>
        </w:rPr>
        <w:t xml:space="preserve">5.2.1 Presumir-se-á intermediação de mão de obra subordinada a relação contratual estabelecida entre a empresa contratante e as Cooperativas de Trabalho que não observar o disposto nos dispositivos acima e na legislação em vigor. </w:t>
      </w:r>
    </w:p>
    <w:p w14:paraId="78E26437" w14:textId="202521C9" w:rsidR="00EF50F1" w:rsidRPr="00CF6D02" w:rsidRDefault="00DE07B0" w:rsidP="00CF6D02">
      <w:pPr>
        <w:jc w:val="both"/>
        <w:rPr>
          <w:rFonts w:ascii="Arial" w:hAnsi="Arial" w:cs="Arial"/>
          <w:sz w:val="22"/>
          <w:szCs w:val="22"/>
        </w:rPr>
      </w:pPr>
      <w:r w:rsidRPr="00CF6D02">
        <w:rPr>
          <w:rFonts w:ascii="Arial" w:hAnsi="Arial" w:cs="Arial"/>
          <w:sz w:val="22"/>
          <w:szCs w:val="22"/>
        </w:rPr>
        <w:t>5.3 A constituição ou utilização de Cooperativa de Trabalho para fraudar deliberadamente a legislação trabalhista, previdenciária e o disposto nesta Lei acarretará aos responsáveis as sanções cíveis e administrativas cabíveis.</w:t>
      </w:r>
    </w:p>
    <w:sectPr w:rsidR="00EF50F1" w:rsidRPr="00CF6D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7B0"/>
    <w:rsid w:val="00324FFF"/>
    <w:rsid w:val="006470CD"/>
    <w:rsid w:val="009C34BD"/>
    <w:rsid w:val="00AC3211"/>
    <w:rsid w:val="00BB58FE"/>
    <w:rsid w:val="00CE0726"/>
    <w:rsid w:val="00CF6D02"/>
    <w:rsid w:val="00D31EDF"/>
    <w:rsid w:val="00DE07B0"/>
    <w:rsid w:val="00E51847"/>
    <w:rsid w:val="00EF50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5DDA4"/>
  <w15:chartTrackingRefBased/>
  <w15:docId w15:val="{49701108-538A-4E67-A94C-724B0265C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DE07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E07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E07B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E07B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DE07B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DE07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E07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E07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E07B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07B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E07B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E07B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E07B0"/>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E07B0"/>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E07B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E07B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E07B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E07B0"/>
    <w:rPr>
      <w:rFonts w:eastAsiaTheme="majorEastAsia" w:cstheme="majorBidi"/>
      <w:color w:val="272727" w:themeColor="text1" w:themeTint="D8"/>
    </w:rPr>
  </w:style>
  <w:style w:type="paragraph" w:styleId="Ttulo">
    <w:name w:val="Title"/>
    <w:basedOn w:val="Normal"/>
    <w:next w:val="Normal"/>
    <w:link w:val="TtuloChar"/>
    <w:uiPriority w:val="10"/>
    <w:qFormat/>
    <w:rsid w:val="00DE07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E07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E07B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E07B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E07B0"/>
    <w:pPr>
      <w:spacing w:before="160"/>
      <w:jc w:val="center"/>
    </w:pPr>
    <w:rPr>
      <w:i/>
      <w:iCs/>
      <w:color w:val="404040" w:themeColor="text1" w:themeTint="BF"/>
    </w:rPr>
  </w:style>
  <w:style w:type="character" w:customStyle="1" w:styleId="CitaoChar">
    <w:name w:val="Citação Char"/>
    <w:basedOn w:val="Fontepargpadro"/>
    <w:link w:val="Citao"/>
    <w:uiPriority w:val="29"/>
    <w:rsid w:val="00DE07B0"/>
    <w:rPr>
      <w:i/>
      <w:iCs/>
      <w:color w:val="404040" w:themeColor="text1" w:themeTint="BF"/>
    </w:rPr>
  </w:style>
  <w:style w:type="paragraph" w:styleId="PargrafodaLista">
    <w:name w:val="List Paragraph"/>
    <w:basedOn w:val="Normal"/>
    <w:uiPriority w:val="34"/>
    <w:qFormat/>
    <w:rsid w:val="00DE07B0"/>
    <w:pPr>
      <w:ind w:left="720"/>
      <w:contextualSpacing/>
    </w:pPr>
  </w:style>
  <w:style w:type="character" w:styleId="nfaseIntensa">
    <w:name w:val="Intense Emphasis"/>
    <w:basedOn w:val="Fontepargpadro"/>
    <w:uiPriority w:val="21"/>
    <w:qFormat/>
    <w:rsid w:val="00DE07B0"/>
    <w:rPr>
      <w:i/>
      <w:iCs/>
      <w:color w:val="0F4761" w:themeColor="accent1" w:themeShade="BF"/>
    </w:rPr>
  </w:style>
  <w:style w:type="paragraph" w:styleId="CitaoIntensa">
    <w:name w:val="Intense Quote"/>
    <w:basedOn w:val="Normal"/>
    <w:next w:val="Normal"/>
    <w:link w:val="CitaoIntensaChar"/>
    <w:uiPriority w:val="30"/>
    <w:qFormat/>
    <w:rsid w:val="00DE07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E07B0"/>
    <w:rPr>
      <w:i/>
      <w:iCs/>
      <w:color w:val="0F4761" w:themeColor="accent1" w:themeShade="BF"/>
    </w:rPr>
  </w:style>
  <w:style w:type="character" w:styleId="RefernciaIntensa">
    <w:name w:val="Intense Reference"/>
    <w:basedOn w:val="Fontepargpadro"/>
    <w:uiPriority w:val="32"/>
    <w:qFormat/>
    <w:rsid w:val="00DE07B0"/>
    <w:rPr>
      <w:b/>
      <w:bCs/>
      <w:smallCaps/>
      <w:color w:val="0F4761" w:themeColor="accent1" w:themeShade="BF"/>
      <w:spacing w:val="5"/>
    </w:rPr>
  </w:style>
  <w:style w:type="character" w:styleId="Hyperlink">
    <w:name w:val="Hyperlink"/>
    <w:basedOn w:val="Fontepargpadro"/>
    <w:uiPriority w:val="99"/>
    <w:unhideWhenUsed/>
    <w:rsid w:val="00DE07B0"/>
    <w:rPr>
      <w:color w:val="467886" w:themeColor="hyperlink"/>
      <w:u w:val="single"/>
    </w:rPr>
  </w:style>
  <w:style w:type="character" w:styleId="MenoPendente">
    <w:name w:val="Unresolved Mention"/>
    <w:basedOn w:val="Fontepargpadro"/>
    <w:uiPriority w:val="99"/>
    <w:semiHidden/>
    <w:unhideWhenUsed/>
    <w:rsid w:val="00DE0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097888">
      <w:bodyDiv w:val="1"/>
      <w:marLeft w:val="0"/>
      <w:marRight w:val="0"/>
      <w:marTop w:val="0"/>
      <w:marBottom w:val="0"/>
      <w:divBdr>
        <w:top w:val="none" w:sz="0" w:space="0" w:color="auto"/>
        <w:left w:val="none" w:sz="0" w:space="0" w:color="auto"/>
        <w:bottom w:val="none" w:sz="0" w:space="0" w:color="auto"/>
        <w:right w:val="none" w:sz="0" w:space="0" w:color="auto"/>
      </w:divBdr>
    </w:div>
    <w:div w:id="87608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leis/l5764.htm" TargetMode="External"/><Relationship Id="rId3" Type="http://schemas.openxmlformats.org/officeDocument/2006/relationships/webSettings" Target="webSettings.xml"/><Relationship Id="rId7" Type="http://schemas.openxmlformats.org/officeDocument/2006/relationships/hyperlink" Target="https://www.planalto.gov.br/ccivil_03/leis/l576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gov.br/en/web/dou/-/instrucao-normativa-seges/me-n-116-de-21-de-dezembro-de-2021-370926958" TargetMode="External"/><Relationship Id="rId5" Type="http://schemas.openxmlformats.org/officeDocument/2006/relationships/hyperlink" Target="https://www.planalto.gov.br/ccivil_03/leis/lcp/lcp123.htm" TargetMode="External"/><Relationship Id="rId10" Type="http://schemas.openxmlformats.org/officeDocument/2006/relationships/theme" Target="theme/theme1.xml"/><Relationship Id="rId4" Type="http://schemas.openxmlformats.org/officeDocument/2006/relationships/hyperlink" Target="http://www.portaldoempreendedor.gov.br"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2606</Words>
  <Characters>14075</Characters>
  <Application>Microsoft Office Word</Application>
  <DocSecurity>0</DocSecurity>
  <Lines>117</Lines>
  <Paragraphs>33</Paragraphs>
  <ScaleCrop>false</ScaleCrop>
  <Company/>
  <LinksUpToDate>false</LinksUpToDate>
  <CharactersWithSpaces>16648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Sônia Maria Trindade</dc:creator>
  <cp:keywords/>
  <dc:description/>
  <cp:lastModifiedBy>Sônia Maria Trindade</cp:lastModifiedBy>
  <cp:revision>7</cp:revision>
  <dcterms:created xsi:type="dcterms:W3CDTF">2025-06-26T17:04:00Z</dcterms:created>
  <dcterms:modified xsi:type="dcterms:W3CDTF">2025-06-26T18:16:00Z</dcterms:modified>
</cp:coreProperties>
</file>